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24</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lang w:val="en-US" w:eastAsia="zh-CN"/>
        </w:rPr>
        <w:t>312675</w:t>
      </w:r>
    </w:p>
    <w:p>
      <w:pPr>
        <w:overflowPunct w:val="0"/>
        <w:autoSpaceDE w:val="0"/>
        <w:autoSpaceDN w:val="0"/>
        <w:adjustRightInd w:val="0"/>
        <w:spacing w:line="360" w:lineRule="auto"/>
        <w:jc w:val="left"/>
        <w:textAlignment w:val="baseline"/>
        <w:rPr>
          <w:rFonts w:hint="eastAsia" w:ascii="Arial" w:hAnsi="Arial" w:eastAsia="宋体" w:cs="Arial"/>
          <w:b/>
          <w:bCs/>
          <w:kern w:val="0"/>
          <w:sz w:val="24"/>
          <w:szCs w:val="24"/>
          <w:lang w:val="en-GB" w:eastAsia="zh-CN"/>
        </w:rPr>
      </w:pPr>
      <w:r>
        <w:rPr>
          <w:rFonts w:hint="eastAsia" w:ascii="Arial" w:hAnsi="Arial" w:eastAsia="宋体" w:cs="Arial"/>
          <w:b/>
          <w:bCs/>
          <w:kern w:val="0"/>
          <w:sz w:val="24"/>
          <w:szCs w:val="24"/>
          <w:lang w:val="en-US" w:eastAsia="zh-CN"/>
        </w:rPr>
        <w:t>Chicago, US,</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13 - 17 November</w:t>
      </w:r>
      <w:r>
        <w:rPr>
          <w:rFonts w:ascii="Arial" w:hAnsi="Arial" w:eastAsia="宋体" w:cs="Arial"/>
          <w:b/>
          <w:bCs/>
          <w:kern w:val="0"/>
          <w:sz w:val="24"/>
          <w:szCs w:val="24"/>
          <w:lang w:val="en-GB"/>
        </w:rPr>
        <w:t>, 202</w:t>
      </w:r>
      <w:r>
        <w:rPr>
          <w:rFonts w:hint="eastAsia" w:ascii="Arial" w:hAnsi="Arial" w:eastAsia="宋体" w:cs="Arial"/>
          <w:b/>
          <w:bCs/>
          <w:kern w:val="0"/>
          <w:sz w:val="24"/>
          <w:szCs w:val="24"/>
          <w:lang w:val="en-US" w:eastAsia="zh-CN"/>
        </w:rPr>
        <w:t>3</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7</w:t>
      </w:r>
      <w:r>
        <w:rPr>
          <w:rFonts w:ascii="Arial" w:hAnsi="Arial" w:eastAsia="宋体" w:cs="Arial"/>
          <w:b/>
          <w:bCs/>
          <w:kern w:val="0"/>
          <w:sz w:val="24"/>
          <w:szCs w:val="20"/>
          <w:lang w:val="en-GB"/>
        </w:rPr>
        <w:t>.</w:t>
      </w:r>
      <w:r>
        <w:rPr>
          <w:rFonts w:hint="eastAsia" w:ascii="Arial" w:hAnsi="Arial" w:eastAsia="宋体" w:cs="Arial"/>
          <w:b/>
          <w:bCs/>
          <w:kern w:val="0"/>
          <w:sz w:val="24"/>
          <w:szCs w:val="20"/>
        </w:rPr>
        <w:t>16</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2.2</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hint="default" w:ascii="Arial" w:hAnsi="Arial" w:eastAsia="宋体" w:cs="Arial"/>
          <w:b/>
          <w:bCs/>
          <w:kern w:val="0"/>
          <w:sz w:val="24"/>
          <w:szCs w:val="20"/>
          <w:lang w:val="en-US"/>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data collection for AI/ML model</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FS_NR_AIML_air</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Introduction</w:t>
      </w:r>
    </w:p>
    <w:p>
      <w:pPr>
        <w:widowControl/>
        <w:spacing w:after="180"/>
        <w:rPr>
          <w:rFonts w:hint="eastAsia" w:ascii="Arial" w:hAnsi="Arial" w:eastAsia="宋体" w:cs="Arial"/>
          <w:kern w:val="0"/>
          <w:sz w:val="20"/>
          <w:szCs w:val="20"/>
          <w:lang w:val="en-US" w:eastAsia="zh-CN"/>
        </w:rPr>
      </w:pPr>
      <w:r>
        <w:rPr>
          <w:rFonts w:hint="eastAsia" w:ascii="Arial" w:hAnsi="Arial" w:cs="Arial"/>
          <w:sz w:val="20"/>
          <w:szCs w:val="20"/>
        </w:rPr>
        <w:t xml:space="preserve">In </w:t>
      </w:r>
      <w:r>
        <w:rPr>
          <w:rFonts w:hint="eastAsia" w:ascii="Arial" w:hAnsi="Arial" w:cs="Arial"/>
          <w:sz w:val="20"/>
          <w:szCs w:val="20"/>
          <w:lang w:val="en-US" w:eastAsia="zh-CN"/>
        </w:rPr>
        <w:t>last meeting[1], RAN2 discussed data collection for NW-side model and achieved the following agreements.</w:t>
      </w:r>
      <w:r>
        <w:rPr>
          <w:rFonts w:ascii="Arial" w:hAnsi="Arial" w:eastAsia="宋体" w:cs="Arial"/>
          <w:kern w:val="0"/>
          <w:sz w:val="20"/>
          <w:szCs w:val="20"/>
          <w:lang w:val="en-GB" w:eastAsia="en-US"/>
        </w:rPr>
        <w:t xml:space="preserve"> </w:t>
      </w:r>
    </w:p>
    <w:p>
      <w:pPr>
        <w:pStyle w:val="24"/>
        <w:pBdr>
          <w:top w:val="single" w:color="auto" w:sz="4" w:space="1"/>
          <w:left w:val="single" w:color="auto" w:sz="4" w:space="4"/>
          <w:bottom w:val="single" w:color="auto" w:sz="4" w:space="1"/>
          <w:right w:val="single" w:color="auto" w:sz="4" w:space="4"/>
        </w:pBdr>
        <w:rPr>
          <w:rFonts w:hint="default" w:ascii="Arial" w:hAnsi="Arial" w:cs="Arial"/>
          <w:b/>
          <w:bCs/>
          <w:sz w:val="20"/>
          <w:szCs w:val="22"/>
          <w:lang w:val="en-US"/>
        </w:rPr>
      </w:pPr>
      <w:r>
        <w:rPr>
          <w:rFonts w:hint="default" w:ascii="Arial" w:hAnsi="Arial" w:cs="Arial"/>
          <w:b/>
          <w:bCs/>
          <w:sz w:val="20"/>
          <w:szCs w:val="22"/>
          <w:lang w:val="en-US"/>
        </w:rPr>
        <w:t>Agreements on NW-side data collection</w:t>
      </w:r>
    </w:p>
    <w:p>
      <w:pPr>
        <w:pStyle w:val="24"/>
        <w:pBdr>
          <w:top w:val="single" w:color="auto" w:sz="4" w:space="1"/>
          <w:left w:val="single" w:color="auto" w:sz="4" w:space="4"/>
          <w:bottom w:val="single" w:color="auto" w:sz="4" w:space="1"/>
          <w:right w:val="single" w:color="auto" w:sz="4" w:space="4"/>
        </w:pBdr>
        <w:rPr>
          <w:rFonts w:hint="default" w:ascii="Arial" w:hAnsi="Arial" w:cs="Arial"/>
          <w:sz w:val="20"/>
          <w:szCs w:val="22"/>
          <w:lang w:val="en-US"/>
        </w:rPr>
      </w:pPr>
      <w:r>
        <w:rPr>
          <w:rFonts w:hint="default" w:ascii="Arial" w:hAnsi="Arial" w:cs="Arial"/>
          <w:sz w:val="20"/>
          <w:szCs w:val="22"/>
          <w:lang w:val="en-US"/>
        </w:rPr>
        <w:t>For CSI and beam management</w:t>
      </w:r>
    </w:p>
    <w:p>
      <w:pPr>
        <w:pStyle w:val="24"/>
        <w:numPr>
          <w:ilvl w:val="0"/>
          <w:numId w:val="6"/>
        </w:numPr>
        <w:pBdr>
          <w:top w:val="single" w:color="auto" w:sz="4" w:space="1"/>
          <w:left w:val="single" w:color="auto" w:sz="4" w:space="4"/>
          <w:bottom w:val="single" w:color="auto" w:sz="4" w:space="1"/>
          <w:right w:val="single" w:color="auto" w:sz="4" w:space="4"/>
        </w:pBdr>
        <w:rPr>
          <w:rFonts w:hint="default" w:ascii="Arial" w:hAnsi="Arial" w:cs="Arial"/>
          <w:sz w:val="20"/>
          <w:szCs w:val="22"/>
          <w:lang w:val="en-US"/>
        </w:rPr>
      </w:pPr>
      <w:r>
        <w:rPr>
          <w:rFonts w:hint="default" w:ascii="Arial" w:hAnsi="Arial" w:cs="Arial"/>
          <w:sz w:val="20"/>
          <w:szCs w:val="22"/>
          <w:lang w:val="en-US"/>
        </w:rPr>
        <w:t>For training of NW-side models, both gNB- and OAM-centric data collection are considered in the study.</w:t>
      </w:r>
    </w:p>
    <w:p>
      <w:pPr>
        <w:pStyle w:val="24"/>
        <w:numPr>
          <w:ilvl w:val="0"/>
          <w:numId w:val="6"/>
        </w:numPr>
        <w:pBdr>
          <w:top w:val="single" w:color="auto" w:sz="4" w:space="1"/>
          <w:left w:val="single" w:color="auto" w:sz="4" w:space="4"/>
          <w:bottom w:val="single" w:color="auto" w:sz="4" w:space="1"/>
          <w:right w:val="single" w:color="auto" w:sz="4" w:space="4"/>
        </w:pBdr>
        <w:rPr>
          <w:rFonts w:hint="default" w:ascii="Arial" w:hAnsi="Arial" w:cs="Arial"/>
          <w:sz w:val="20"/>
          <w:szCs w:val="22"/>
          <w:lang w:val="en-US"/>
        </w:rPr>
      </w:pPr>
      <w:r>
        <w:rPr>
          <w:rFonts w:hint="default" w:ascii="Arial" w:hAnsi="Arial" w:cs="Arial"/>
          <w:sz w:val="20"/>
          <w:szCs w:val="22"/>
          <w:lang w:val="en-US"/>
        </w:rPr>
        <w:t>For training of NW-side models, the gNB-centric data collection implies that the gNB configures the UE to initiate/terminate the data collection procedure.  To further study the details of the data collection configuration</w:t>
      </w:r>
    </w:p>
    <w:p>
      <w:pPr>
        <w:pStyle w:val="24"/>
        <w:numPr>
          <w:ilvl w:val="0"/>
          <w:numId w:val="6"/>
        </w:numPr>
        <w:pBdr>
          <w:top w:val="single" w:color="auto" w:sz="4" w:space="1"/>
          <w:left w:val="single" w:color="auto" w:sz="4" w:space="4"/>
          <w:bottom w:val="single" w:color="auto" w:sz="4" w:space="1"/>
          <w:right w:val="single" w:color="auto" w:sz="4" w:space="4"/>
        </w:pBdr>
        <w:rPr>
          <w:rFonts w:hint="default" w:ascii="Arial" w:hAnsi="Arial" w:cs="Arial"/>
          <w:sz w:val="20"/>
          <w:szCs w:val="22"/>
          <w:lang w:val="en-US"/>
        </w:rPr>
      </w:pPr>
      <w:r>
        <w:rPr>
          <w:rFonts w:hint="default" w:ascii="Arial" w:hAnsi="Arial" w:cs="Arial"/>
          <w:sz w:val="20"/>
          <w:szCs w:val="22"/>
          <w:lang w:val="en-US"/>
        </w:rPr>
        <w:t>For training of NW-side models, an OAM-centric data collection implies that the OAM provides the configuration (via the gNB) needed for the UE to initiate/terminate the data collection procedure. MDT framework can be considered.</w:t>
      </w:r>
    </w:p>
    <w:p>
      <w:pPr>
        <w:pStyle w:val="24"/>
        <w:numPr>
          <w:ilvl w:val="0"/>
          <w:numId w:val="6"/>
        </w:numPr>
        <w:pBdr>
          <w:top w:val="single" w:color="auto" w:sz="4" w:space="1"/>
          <w:left w:val="single" w:color="auto" w:sz="4" w:space="4"/>
          <w:bottom w:val="single" w:color="auto" w:sz="4" w:space="1"/>
          <w:right w:val="single" w:color="auto" w:sz="4" w:space="4"/>
        </w:pBdr>
        <w:rPr>
          <w:rFonts w:hint="default" w:ascii="Arial" w:hAnsi="Arial" w:cs="Arial"/>
          <w:sz w:val="20"/>
          <w:szCs w:val="22"/>
          <w:lang w:val="en-US"/>
        </w:rPr>
      </w:pPr>
      <w:r>
        <w:rPr>
          <w:rFonts w:hint="default" w:ascii="Arial" w:hAnsi="Arial" w:cs="Arial"/>
          <w:sz w:val="20"/>
          <w:szCs w:val="22"/>
          <w:lang w:val="en-US"/>
        </w:rPr>
        <w:t>Related to gNB-centric data collection for NW-side model training, RAN2 studies the potential impact on L3 signalling for the reporting of collected data, taking into account RAN1 further inputs/progress.</w:t>
      </w:r>
    </w:p>
    <w:p>
      <w:pPr>
        <w:pStyle w:val="24"/>
        <w:numPr>
          <w:ilvl w:val="0"/>
          <w:numId w:val="6"/>
        </w:numPr>
        <w:pBdr>
          <w:top w:val="single" w:color="auto" w:sz="4" w:space="1"/>
          <w:left w:val="single" w:color="auto" w:sz="4" w:space="4"/>
          <w:bottom w:val="single" w:color="auto" w:sz="4" w:space="1"/>
          <w:right w:val="single" w:color="auto" w:sz="4" w:space="4"/>
        </w:pBdr>
        <w:rPr>
          <w:rFonts w:hint="default" w:ascii="Arial" w:hAnsi="Arial" w:cs="Arial"/>
          <w:sz w:val="20"/>
          <w:szCs w:val="22"/>
          <w:lang w:val="en-US"/>
        </w:rPr>
      </w:pPr>
      <w:r>
        <w:rPr>
          <w:rFonts w:hint="default" w:ascii="Arial" w:hAnsi="Arial" w:cs="Arial"/>
          <w:sz w:val="20"/>
          <w:szCs w:val="22"/>
          <w:lang w:val="en-US"/>
        </w:rPr>
        <w:t>Related to OAM-centric data collection for NW-side model training, RAN2 studies the potential impact at on the MDT for connected mode, taking into account RAN1 further inputs/progress</w:t>
      </w:r>
    </w:p>
    <w:p>
      <w:pPr>
        <w:pStyle w:val="24"/>
        <w:pBdr>
          <w:top w:val="single" w:color="auto" w:sz="4" w:space="1"/>
          <w:left w:val="single" w:color="auto" w:sz="4" w:space="4"/>
          <w:bottom w:val="single" w:color="auto" w:sz="4" w:space="1"/>
          <w:right w:val="single" w:color="auto" w:sz="4" w:space="4"/>
        </w:pBdr>
        <w:rPr>
          <w:rFonts w:hint="default" w:ascii="Arial" w:hAnsi="Arial" w:cs="Arial"/>
          <w:sz w:val="20"/>
          <w:szCs w:val="22"/>
          <w:lang w:val="en-US"/>
        </w:rPr>
      </w:pPr>
      <w:r>
        <w:rPr>
          <w:rFonts w:hint="default" w:ascii="Arial" w:hAnsi="Arial" w:cs="Arial"/>
          <w:sz w:val="20"/>
          <w:szCs w:val="22"/>
          <w:lang w:val="en-US"/>
        </w:rPr>
        <w:tab/>
      </w:r>
    </w:p>
    <w:p>
      <w:pPr>
        <w:pStyle w:val="24"/>
        <w:pBdr>
          <w:top w:val="single" w:color="auto" w:sz="4" w:space="1"/>
          <w:left w:val="single" w:color="auto" w:sz="4" w:space="4"/>
          <w:bottom w:val="single" w:color="auto" w:sz="4" w:space="1"/>
          <w:right w:val="single" w:color="auto" w:sz="4" w:space="4"/>
        </w:pBdr>
        <w:rPr>
          <w:rFonts w:hint="default" w:ascii="Arial" w:hAnsi="Arial" w:cs="Arial"/>
          <w:sz w:val="20"/>
          <w:szCs w:val="22"/>
          <w:lang w:val="en-US"/>
        </w:rPr>
      </w:pPr>
      <w:r>
        <w:rPr>
          <w:rFonts w:hint="default" w:ascii="Arial" w:hAnsi="Arial" w:cs="Arial"/>
          <w:sz w:val="20"/>
          <w:szCs w:val="22"/>
          <w:lang w:val="en-US"/>
        </w:rPr>
        <w:t>Positioning</w:t>
      </w:r>
    </w:p>
    <w:p>
      <w:pPr>
        <w:pStyle w:val="24"/>
        <w:pBdr>
          <w:top w:val="single" w:color="auto" w:sz="4" w:space="1"/>
          <w:left w:val="single" w:color="auto" w:sz="4" w:space="4"/>
          <w:bottom w:val="single" w:color="auto" w:sz="4" w:space="1"/>
          <w:right w:val="single" w:color="auto" w:sz="4" w:space="4"/>
        </w:pBdr>
        <w:rPr>
          <w:rFonts w:hint="default" w:ascii="Arial" w:hAnsi="Arial" w:cs="Arial"/>
          <w:sz w:val="20"/>
          <w:szCs w:val="22"/>
          <w:lang w:val="en-US"/>
        </w:rPr>
      </w:pPr>
      <w:r>
        <w:rPr>
          <w:rFonts w:hint="default" w:ascii="Arial" w:hAnsi="Arial" w:cs="Arial"/>
          <w:sz w:val="20"/>
          <w:szCs w:val="22"/>
          <w:lang w:val="en-US"/>
        </w:rPr>
        <w:tab/>
      </w:r>
      <w:r>
        <w:rPr>
          <w:rFonts w:hint="default" w:ascii="Arial" w:hAnsi="Arial" w:cs="Arial"/>
          <w:sz w:val="20"/>
          <w:szCs w:val="22"/>
          <w:lang w:val="en-US"/>
        </w:rPr>
        <w:t>For LMF sided inference (case 2b, case 3b), RAN2 assumes LPP protocol should be applied to the data collected by UE and terminated at LMF, while the NRPPa protocol should be applied to the data collected by gNB and terminated at LMF.</w:t>
      </w:r>
    </w:p>
    <w:p>
      <w:pPr>
        <w:pStyle w:val="24"/>
        <w:pBdr>
          <w:top w:val="single" w:color="auto" w:sz="4" w:space="1"/>
          <w:left w:val="single" w:color="auto" w:sz="4" w:space="4"/>
          <w:bottom w:val="single" w:color="auto" w:sz="4" w:space="1"/>
          <w:right w:val="single" w:color="auto" w:sz="4" w:space="4"/>
        </w:pBdr>
        <w:rPr>
          <w:rFonts w:hint="default" w:ascii="Arial" w:hAnsi="Arial" w:cs="Arial"/>
          <w:sz w:val="20"/>
          <w:szCs w:val="22"/>
          <w:lang w:val="en-US"/>
        </w:rPr>
      </w:pPr>
      <w:r>
        <w:rPr>
          <w:rFonts w:hint="default" w:ascii="Arial" w:hAnsi="Arial" w:cs="Arial"/>
          <w:sz w:val="20"/>
          <w:szCs w:val="22"/>
          <w:lang w:val="en-US"/>
        </w:rPr>
        <w:t>8</w:t>
      </w:r>
      <w:r>
        <w:rPr>
          <w:rFonts w:hint="default" w:ascii="Arial" w:hAnsi="Arial" w:cs="Arial"/>
          <w:sz w:val="20"/>
          <w:szCs w:val="22"/>
          <w:lang w:val="en-US"/>
        </w:rPr>
        <w:tab/>
      </w:r>
      <w:r>
        <w:rPr>
          <w:rFonts w:hint="default" w:ascii="Arial" w:hAnsi="Arial" w:cs="Arial"/>
          <w:sz w:val="20"/>
          <w:szCs w:val="22"/>
          <w:lang w:val="en-US"/>
        </w:rPr>
        <w:t>For LMF sided performance monitoring, RAN2 assumes LPP protocol should be applied to the data collected by UE and terminated at LMF, while the NRPPa protocol should be applied to the data collected by gNB and terminated at LMF.</w:t>
      </w:r>
    </w:p>
    <w:p>
      <w:pPr>
        <w:pStyle w:val="24"/>
        <w:pBdr>
          <w:top w:val="single" w:color="auto" w:sz="4" w:space="1"/>
          <w:left w:val="single" w:color="auto" w:sz="4" w:space="4"/>
          <w:bottom w:val="single" w:color="auto" w:sz="4" w:space="1"/>
          <w:right w:val="single" w:color="auto" w:sz="4" w:space="4"/>
        </w:pBdr>
        <w:rPr>
          <w:rFonts w:hint="default" w:ascii="Arial" w:hAnsi="Arial" w:cs="Arial"/>
          <w:sz w:val="20"/>
          <w:szCs w:val="22"/>
          <w:lang w:val="en-US"/>
        </w:rPr>
      </w:pPr>
      <w:r>
        <w:rPr>
          <w:rFonts w:hint="default" w:ascii="Arial" w:hAnsi="Arial" w:cs="Arial"/>
          <w:sz w:val="20"/>
          <w:szCs w:val="22"/>
          <w:lang w:val="en-US"/>
        </w:rPr>
        <w:t>General</w:t>
      </w:r>
    </w:p>
    <w:p>
      <w:pPr>
        <w:pStyle w:val="24"/>
        <w:numPr>
          <w:ilvl w:val="0"/>
          <w:numId w:val="6"/>
        </w:numPr>
        <w:pBdr>
          <w:top w:val="single" w:color="auto" w:sz="4" w:space="1"/>
          <w:left w:val="single" w:color="auto" w:sz="4" w:space="4"/>
          <w:bottom w:val="single" w:color="auto" w:sz="4" w:space="1"/>
          <w:right w:val="single" w:color="auto" w:sz="4" w:space="4"/>
        </w:pBdr>
        <w:rPr>
          <w:rFonts w:hint="default" w:ascii="Arial" w:hAnsi="Arial" w:cs="Arial"/>
          <w:sz w:val="20"/>
          <w:szCs w:val="22"/>
          <w:lang w:val="en-US"/>
        </w:rPr>
      </w:pPr>
      <w:r>
        <w:rPr>
          <w:rFonts w:hint="default" w:ascii="Arial" w:hAnsi="Arial" w:cs="Arial"/>
          <w:sz w:val="20"/>
          <w:szCs w:val="22"/>
          <w:lang w:val="en-US"/>
        </w:rPr>
        <w:t>Principles in proposal 4 and 9 will be captured as one combined set of principles for NW-side data collection:</w:t>
      </w:r>
    </w:p>
    <w:p>
      <w:pPr>
        <w:pStyle w:val="24"/>
        <w:pBdr>
          <w:top w:val="single" w:color="auto" w:sz="4" w:space="1"/>
          <w:left w:val="single" w:color="auto" w:sz="4" w:space="4"/>
          <w:bottom w:val="single" w:color="auto" w:sz="4" w:space="1"/>
          <w:right w:val="single" w:color="auto" w:sz="4" w:space="4"/>
        </w:pBdr>
        <w:ind w:left="1259" w:firstLine="0"/>
        <w:rPr>
          <w:rFonts w:hint="default" w:ascii="Arial" w:hAnsi="Arial" w:cs="Arial"/>
          <w:sz w:val="20"/>
          <w:szCs w:val="22"/>
          <w:lang w:val="en-US"/>
        </w:rPr>
      </w:pPr>
      <w:r>
        <w:rPr>
          <w:rFonts w:hint="default" w:ascii="Arial" w:hAnsi="Arial" w:cs="Arial"/>
          <w:sz w:val="20"/>
          <w:szCs w:val="22"/>
          <w:lang w:val="en-US"/>
        </w:rPr>
        <w:tab/>
      </w:r>
      <w:r>
        <w:rPr>
          <w:rFonts w:hint="default" w:ascii="Arial" w:hAnsi="Arial" w:cs="Arial"/>
          <w:sz w:val="20"/>
          <w:szCs w:val="22"/>
          <w:lang w:val="en-US"/>
        </w:rPr>
        <w:t xml:space="preserve">logging is supported </w:t>
      </w:r>
    </w:p>
    <w:p>
      <w:pPr>
        <w:pStyle w:val="24"/>
        <w:pBdr>
          <w:top w:val="single" w:color="auto" w:sz="4" w:space="1"/>
          <w:left w:val="single" w:color="auto" w:sz="4" w:space="4"/>
          <w:bottom w:val="single" w:color="auto" w:sz="4" w:space="1"/>
          <w:right w:val="single" w:color="auto" w:sz="4" w:space="4"/>
        </w:pBdr>
        <w:ind w:left="1259" w:firstLine="0"/>
        <w:rPr>
          <w:rFonts w:hint="default" w:ascii="Arial" w:hAnsi="Arial" w:cs="Arial"/>
          <w:sz w:val="20"/>
          <w:szCs w:val="22"/>
          <w:lang w:val="en-US"/>
        </w:rPr>
      </w:pPr>
      <w:r>
        <w:rPr>
          <w:rFonts w:hint="default" w:ascii="Arial" w:hAnsi="Arial" w:cs="Arial"/>
          <w:sz w:val="20"/>
          <w:szCs w:val="22"/>
          <w:lang w:val="en-US"/>
        </w:rPr>
        <w:tab/>
      </w:r>
      <w:r>
        <w:rPr>
          <w:rFonts w:hint="default" w:ascii="Arial" w:hAnsi="Arial" w:cs="Arial"/>
          <w:sz w:val="20"/>
          <w:szCs w:val="22"/>
          <w:lang w:val="en-US"/>
        </w:rPr>
        <w:t xml:space="preserve">periodic, event based reporting, on demand report </w:t>
      </w:r>
    </w:p>
    <w:p>
      <w:pPr>
        <w:pStyle w:val="24"/>
        <w:pBdr>
          <w:top w:val="single" w:color="auto" w:sz="4" w:space="1"/>
          <w:left w:val="single" w:color="auto" w:sz="4" w:space="4"/>
          <w:bottom w:val="single" w:color="auto" w:sz="4" w:space="1"/>
          <w:right w:val="single" w:color="auto" w:sz="4" w:space="4"/>
        </w:pBdr>
        <w:rPr>
          <w:rFonts w:hint="default" w:ascii="Arial" w:hAnsi="Arial" w:cs="Arial"/>
          <w:sz w:val="20"/>
          <w:szCs w:val="22"/>
          <w:lang w:val="en-US"/>
        </w:rPr>
      </w:pPr>
      <w:r>
        <w:rPr>
          <w:rFonts w:hint="default" w:ascii="Arial" w:hAnsi="Arial" w:cs="Arial"/>
          <w:sz w:val="20"/>
          <w:szCs w:val="22"/>
          <w:lang w:val="en-US"/>
        </w:rPr>
        <w:tab/>
      </w:r>
      <w:r>
        <w:rPr>
          <w:rFonts w:hint="default" w:ascii="Arial" w:hAnsi="Arial" w:cs="Arial"/>
          <w:sz w:val="20"/>
          <w:szCs w:val="22"/>
          <w:lang w:val="en-US"/>
        </w:rPr>
        <w:t>The UE memory, processing power, energy consumption, signalling overhead should be taken into account.</w:t>
      </w:r>
    </w:p>
    <w:p>
      <w:pPr>
        <w:pStyle w:val="24"/>
        <w:pBdr>
          <w:top w:val="single" w:color="auto" w:sz="4" w:space="1"/>
          <w:left w:val="single" w:color="auto" w:sz="4" w:space="4"/>
          <w:bottom w:val="single" w:color="auto" w:sz="4" w:space="1"/>
          <w:right w:val="single" w:color="auto" w:sz="4" w:space="4"/>
        </w:pBdr>
        <w:rPr>
          <w:rFonts w:hint="default" w:ascii="Arial" w:hAnsi="Arial" w:cs="Arial"/>
          <w:sz w:val="20"/>
          <w:szCs w:val="22"/>
          <w:lang w:val="en-US"/>
        </w:rPr>
      </w:pPr>
      <w:r>
        <w:rPr>
          <w:rFonts w:hint="default" w:ascii="Arial" w:hAnsi="Arial" w:cs="Arial"/>
          <w:sz w:val="20"/>
          <w:szCs w:val="22"/>
          <w:lang w:val="en-US"/>
        </w:rPr>
        <w:t>Note: The above principles, can be revised depending on RAN1 progress/requirements</w:t>
      </w:r>
    </w:p>
    <w:p>
      <w:pPr>
        <w:pStyle w:val="31"/>
        <w:numPr>
          <w:ilvl w:val="0"/>
          <w:numId w:val="0"/>
        </w:numPr>
        <w:tabs>
          <w:tab w:val="left" w:pos="1352"/>
          <w:tab w:val="left" w:pos="1980"/>
          <w:tab w:val="clear" w:pos="1619"/>
        </w:tabs>
        <w:spacing w:after="180"/>
        <w:rPr>
          <w:rFonts w:hint="default" w:ascii="Arial" w:hAnsi="Arial" w:eastAsia="宋体" w:cs="Arial"/>
          <w:b w:val="0"/>
          <w:color w:val="000000"/>
          <w:sz w:val="20"/>
          <w:szCs w:val="18"/>
          <w:lang w:eastAsia="ja-JP"/>
        </w:rPr>
      </w:pPr>
      <w:r>
        <w:rPr>
          <w:rFonts w:hint="default" w:ascii="Arial" w:hAnsi="Arial" w:eastAsia="宋体" w:cs="Arial"/>
          <w:b w:val="0"/>
          <w:color w:val="000000"/>
          <w:sz w:val="20"/>
          <w:szCs w:val="18"/>
          <w:lang w:eastAsia="ja-JP"/>
        </w:rPr>
        <w:t>In RAN2#121</w:t>
      </w:r>
      <w:r>
        <w:rPr>
          <w:rFonts w:hint="eastAsia" w:ascii="Arial" w:hAnsi="Arial" w:eastAsia="宋体" w:cs="Arial"/>
          <w:b w:val="0"/>
          <w:color w:val="000000"/>
          <w:sz w:val="20"/>
          <w:szCs w:val="18"/>
          <w:lang w:val="en-US" w:eastAsia="zh-CN"/>
        </w:rPr>
        <w:t xml:space="preserve"> meeting</w:t>
      </w:r>
      <w:r>
        <w:rPr>
          <w:rFonts w:hint="default" w:ascii="Arial" w:hAnsi="Arial" w:eastAsia="宋体" w:cs="Arial"/>
          <w:b w:val="0"/>
          <w:color w:val="000000"/>
          <w:sz w:val="20"/>
          <w:szCs w:val="18"/>
          <w:lang w:eastAsia="ja-JP"/>
        </w:rPr>
        <w:t xml:space="preserve"> [</w:t>
      </w:r>
      <w:r>
        <w:rPr>
          <w:rFonts w:hint="eastAsia" w:ascii="Arial" w:hAnsi="Arial" w:eastAsia="宋体" w:cs="Arial"/>
          <w:b w:val="0"/>
          <w:color w:val="000000"/>
          <w:sz w:val="20"/>
          <w:szCs w:val="18"/>
          <w:lang w:val="en-US" w:eastAsia="zh-CN"/>
        </w:rPr>
        <w:t>2</w:t>
      </w:r>
      <w:r>
        <w:rPr>
          <w:rFonts w:hint="default" w:ascii="Arial" w:hAnsi="Arial" w:eastAsia="宋体" w:cs="Arial"/>
          <w:b w:val="0"/>
          <w:color w:val="000000"/>
          <w:sz w:val="20"/>
          <w:szCs w:val="18"/>
          <w:lang w:eastAsia="ja-JP"/>
        </w:rPr>
        <w:t xml:space="preserve">], an analysis table </w:t>
      </w:r>
      <w:r>
        <w:rPr>
          <w:rFonts w:hint="eastAsia" w:ascii="Arial" w:hAnsi="Arial" w:eastAsia="宋体" w:cs="Arial"/>
          <w:b w:val="0"/>
          <w:color w:val="000000"/>
          <w:sz w:val="20"/>
          <w:szCs w:val="18"/>
          <w:lang w:val="en-US" w:eastAsia="zh-CN"/>
        </w:rPr>
        <w:t xml:space="preserve">in [3] </w:t>
      </w:r>
      <w:r>
        <w:rPr>
          <w:rFonts w:hint="default" w:ascii="Arial" w:hAnsi="Arial" w:eastAsia="宋体" w:cs="Arial"/>
          <w:b w:val="0"/>
          <w:color w:val="000000"/>
          <w:sz w:val="20"/>
          <w:szCs w:val="18"/>
          <w:lang w:eastAsia="ja-JP"/>
        </w:rPr>
        <w:t xml:space="preserve">on </w:t>
      </w:r>
      <w:r>
        <w:rPr>
          <w:rFonts w:hint="eastAsia" w:ascii="Arial" w:hAnsi="Arial" w:eastAsia="宋体" w:cs="Arial"/>
          <w:b w:val="0"/>
          <w:color w:val="000000"/>
          <w:sz w:val="20"/>
          <w:szCs w:val="18"/>
          <w:lang w:val="en-US" w:eastAsia="zh-CN"/>
        </w:rPr>
        <w:t xml:space="preserve">the </w:t>
      </w:r>
      <w:r>
        <w:rPr>
          <w:rFonts w:hint="default" w:ascii="Arial" w:hAnsi="Arial" w:eastAsia="宋体" w:cs="Arial"/>
          <w:b w:val="0"/>
          <w:color w:val="000000"/>
          <w:sz w:val="20"/>
          <w:szCs w:val="18"/>
          <w:lang w:eastAsia="ja-JP"/>
        </w:rPr>
        <w:t>existing data collection framework was endorsed</w:t>
      </w:r>
      <w:r>
        <w:rPr>
          <w:rFonts w:hint="eastAsia" w:ascii="Arial" w:hAnsi="Arial" w:eastAsia="宋体" w:cs="Arial"/>
          <w:b w:val="0"/>
          <w:color w:val="000000"/>
          <w:sz w:val="20"/>
          <w:szCs w:val="18"/>
          <w:lang w:val="en-US" w:eastAsia="zh-CN"/>
        </w:rPr>
        <w:t xml:space="preserve"> as a starting point</w:t>
      </w:r>
      <w:r>
        <w:rPr>
          <w:rFonts w:hint="default" w:ascii="Arial" w:hAnsi="Arial" w:eastAsia="宋体" w:cs="Arial"/>
          <w:b w:val="0"/>
          <w:color w:val="000000"/>
          <w:sz w:val="20"/>
          <w:szCs w:val="18"/>
          <w:lang w:eastAsia="ja-JP"/>
        </w:rPr>
        <w:t>.</w:t>
      </w:r>
    </w:p>
    <w:p>
      <w:pPr>
        <w:pStyle w:val="31"/>
        <w:tabs>
          <w:tab w:val="left" w:pos="1352"/>
        </w:tabs>
        <w:ind w:left="1619"/>
        <w:rPr>
          <w:rFonts w:hint="default" w:ascii="Arial" w:hAnsi="Arial" w:cs="Arial"/>
          <w:sz w:val="20"/>
          <w:szCs w:val="21"/>
        </w:rPr>
      </w:pPr>
      <w:r>
        <w:rPr>
          <w:rFonts w:hint="default" w:ascii="Arial" w:hAnsi="Arial" w:cs="Arial"/>
          <w:sz w:val="20"/>
          <w:szCs w:val="21"/>
        </w:rPr>
        <w:t xml:space="preserve">Endorse the table as a starting point (e.g. can add more columns if needed later, modify, add rows etc). Content shall be interpreted as current content. </w:t>
      </w:r>
    </w:p>
    <w:p>
      <w:pPr>
        <w:pStyle w:val="31"/>
        <w:tabs>
          <w:tab w:val="left" w:pos="1352"/>
        </w:tabs>
        <w:spacing w:after="180"/>
        <w:ind w:left="1619"/>
        <w:rPr>
          <w:rFonts w:hint="default" w:ascii="Arial" w:hAnsi="Arial" w:cs="Arial"/>
          <w:sz w:val="20"/>
          <w:szCs w:val="21"/>
        </w:rPr>
      </w:pPr>
      <w:r>
        <w:rPr>
          <w:rFonts w:hint="default" w:ascii="Arial" w:hAnsi="Arial" w:cs="Arial"/>
          <w:sz w:val="20"/>
          <w:szCs w:val="21"/>
        </w:rPr>
        <w:t xml:space="preserve">Chair: There is significant support to aim for evaluating the data collection methods per LCM purpose </w:t>
      </w:r>
    </w:p>
    <w:p>
      <w:pPr>
        <w:widowControl/>
        <w:spacing w:before="120" w:beforeLines="50" w:after="180"/>
        <w:rPr>
          <w:rFonts w:ascii="Arial" w:hAnsi="Arial" w:eastAsia="宋体" w:cs="Arial"/>
          <w:kern w:val="0"/>
          <w:szCs w:val="21"/>
          <w:lang w:val="en-GB"/>
        </w:rPr>
      </w:pPr>
      <w:r>
        <w:rPr>
          <w:rFonts w:hint="eastAsia" w:ascii="Arial" w:hAnsi="Arial" w:eastAsia="宋体" w:cs="Arial"/>
          <w:kern w:val="0"/>
          <w:sz w:val="20"/>
          <w:szCs w:val="20"/>
          <w:lang w:val="en-US" w:eastAsia="zh-CN"/>
        </w:rPr>
        <w:t>In addition, RAN1 has sent the reply LS on Part B [4] for each use case.T</w:t>
      </w:r>
      <w:r>
        <w:rPr>
          <w:rFonts w:ascii="Arial" w:hAnsi="Arial" w:eastAsia="宋体" w:cs="Arial"/>
          <w:kern w:val="0"/>
          <w:sz w:val="20"/>
          <w:szCs w:val="20"/>
          <w:lang w:val="en-GB"/>
        </w:rPr>
        <w:t>his contribution</w:t>
      </w:r>
      <w:r>
        <w:rPr>
          <w:rFonts w:ascii="Arial" w:hAnsi="Arial" w:cs="Arial"/>
          <w:sz w:val="20"/>
          <w:szCs w:val="20"/>
        </w:rPr>
        <w:t xml:space="preserve"> </w:t>
      </w:r>
      <w:r>
        <w:rPr>
          <w:rFonts w:hint="eastAsia" w:ascii="Arial" w:hAnsi="Arial" w:cs="Arial"/>
          <w:sz w:val="20"/>
          <w:szCs w:val="20"/>
          <w:lang w:val="en-US" w:eastAsia="zh-CN"/>
        </w:rPr>
        <w:t xml:space="preserve">will further </w:t>
      </w:r>
      <w:r>
        <w:rPr>
          <w:rFonts w:hint="eastAsia" w:ascii="Arial" w:hAnsi="Arial" w:eastAsia="宋体" w:cs="Arial"/>
          <w:kern w:val="0"/>
          <w:sz w:val="20"/>
          <w:szCs w:val="20"/>
        </w:rPr>
        <w:t>discuss</w:t>
      </w:r>
      <w:r>
        <w:rPr>
          <w:rFonts w:hint="eastAsia" w:ascii="Arial" w:hAnsi="Arial" w:eastAsia="宋体" w:cs="Arial"/>
          <w:kern w:val="0"/>
          <w:sz w:val="20"/>
          <w:szCs w:val="20"/>
          <w:lang w:val="en-US" w:eastAsia="zh-CN"/>
        </w:rPr>
        <w:t xml:space="preserve"> data collection for AI/ML model considering RAN1 reply LS</w:t>
      </w:r>
      <w:r>
        <w:rPr>
          <w:rFonts w:ascii="Arial" w:hAnsi="Arial" w:eastAsia="宋体" w:cs="Arial"/>
          <w:kern w:val="0"/>
          <w:sz w:val="20"/>
          <w:szCs w:val="20"/>
          <w:lang w:val="en-GB"/>
        </w:rPr>
        <w:t>.</w:t>
      </w:r>
    </w:p>
    <w:p>
      <w:pPr>
        <w:keepNext/>
        <w:keepLines/>
        <w:widowControl/>
        <w:numPr>
          <w:ilvl w:val="0"/>
          <w:numId w:val="7"/>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Discussion</w:t>
      </w:r>
    </w:p>
    <w:p>
      <w:pPr>
        <w:widowControl/>
        <w:spacing w:after="180"/>
        <w:outlineLvl w:val="1"/>
        <w:rPr>
          <w:rFonts w:hint="eastAsia" w:ascii="Arial" w:hAnsi="Arial" w:eastAsia="宋体" w:cs="Arial"/>
          <w:kern w:val="0"/>
          <w:sz w:val="32"/>
          <w:szCs w:val="18"/>
          <w:lang w:val="en-US" w:eastAsia="zh-CN"/>
        </w:rPr>
      </w:pPr>
      <w:r>
        <w:rPr>
          <w:rFonts w:hint="eastAsia" w:ascii="Arial" w:hAnsi="Arial" w:eastAsia="宋体" w:cs="Arial"/>
          <w:kern w:val="0"/>
          <w:sz w:val="32"/>
          <w:szCs w:val="18"/>
        </w:rPr>
        <w:t>2.</w:t>
      </w:r>
      <w:r>
        <w:rPr>
          <w:rFonts w:hint="eastAsia" w:ascii="Arial" w:hAnsi="Arial" w:eastAsia="宋体" w:cs="Arial"/>
          <w:kern w:val="0"/>
          <w:sz w:val="32"/>
          <w:szCs w:val="18"/>
          <w:lang w:val="en-US" w:eastAsia="zh-CN"/>
        </w:rPr>
        <w:t>1</w:t>
      </w:r>
      <w:r>
        <w:rPr>
          <w:rFonts w:hint="eastAsia" w:ascii="Arial" w:hAnsi="Arial" w:eastAsia="宋体" w:cs="Arial"/>
          <w:kern w:val="0"/>
          <w:sz w:val="32"/>
          <w:szCs w:val="18"/>
        </w:rPr>
        <w:t xml:space="preserve"> </w:t>
      </w:r>
      <w:r>
        <w:rPr>
          <w:rFonts w:hint="eastAsia" w:ascii="Arial" w:hAnsi="Arial" w:eastAsia="宋体" w:cs="Arial"/>
          <w:kern w:val="0"/>
          <w:sz w:val="32"/>
          <w:szCs w:val="18"/>
          <w:lang w:val="en-US" w:eastAsia="zh-CN"/>
        </w:rPr>
        <w:t>Data collection for model training</w:t>
      </w:r>
    </w:p>
    <w:p>
      <w:pPr>
        <w:pStyle w:val="8"/>
        <w:jc w:val="both"/>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As per RAN1 reply LS [4], the typical data size per use case is provided for easy understanding as follows, and it is noted that the data size is per data sample:</w:t>
      </w:r>
    </w:p>
    <w:p>
      <w:pPr>
        <w:pStyle w:val="8"/>
        <w:ind w:leftChars="100"/>
        <w:jc w:val="both"/>
        <w:rPr>
          <w:rFonts w:hint="eastAsia" w:ascii="Arial" w:hAnsi="Arial" w:eastAsia="等线" w:cs="Arial"/>
          <w:sz w:val="20"/>
          <w:szCs w:val="21"/>
          <w:lang w:val="en-US" w:eastAsia="zh-CN"/>
        </w:rPr>
      </w:pPr>
      <w:r>
        <w:rPr>
          <w:rFonts w:hint="eastAsia" w:ascii="Arial" w:hAnsi="Arial" w:eastAsia="宋体" w:cs="Arial"/>
          <w:b/>
          <w:bCs/>
          <w:kern w:val="0"/>
          <w:sz w:val="20"/>
          <w:szCs w:val="20"/>
          <w:lang w:val="en-US" w:eastAsia="zh-CN"/>
        </w:rPr>
        <w:t xml:space="preserve">- For CSI compression: </w:t>
      </w:r>
      <w:r>
        <w:rPr>
          <w:rFonts w:hint="eastAsia" w:ascii="Arial" w:hAnsi="Arial" w:eastAsia="等线" w:cs="Arial"/>
          <w:sz w:val="20"/>
          <w:szCs w:val="21"/>
          <w:lang w:val="en-US" w:eastAsia="zh-CN"/>
        </w:rPr>
        <w:t xml:space="preserve">The data size is about 10s of bits to ~ a few 1000bits even up to ~150Kbits (18.75kbyte) per data sample for different types of data content. RAN1 also notes that the data size is very depending on the configuration. </w:t>
      </w:r>
    </w:p>
    <w:p>
      <w:pPr>
        <w:pStyle w:val="8"/>
        <w:ind w:leftChars="100"/>
        <w:jc w:val="both"/>
        <w:rPr>
          <w:rFonts w:hint="default" w:ascii="Arial" w:hAnsi="Arial" w:eastAsia="等线" w:cs="Arial"/>
          <w:sz w:val="20"/>
          <w:szCs w:val="21"/>
          <w:lang w:val="en-US" w:eastAsia="zh-CN"/>
        </w:rPr>
      </w:pPr>
      <w:r>
        <w:rPr>
          <w:rFonts w:hint="eastAsia" w:ascii="Arial" w:hAnsi="Arial" w:eastAsia="等线" w:cs="Arial"/>
          <w:b/>
          <w:bCs/>
          <w:sz w:val="20"/>
          <w:szCs w:val="21"/>
          <w:lang w:val="en-US" w:eastAsia="zh-CN"/>
        </w:rPr>
        <w:t>- For CSI prediction:</w:t>
      </w:r>
      <w:r>
        <w:rPr>
          <w:rFonts w:hint="eastAsia" w:ascii="Arial" w:hAnsi="Arial" w:eastAsia="等线" w:cs="Arial"/>
          <w:sz w:val="20"/>
          <w:szCs w:val="21"/>
          <w:lang w:val="en-US" w:eastAsia="zh-CN"/>
        </w:rPr>
        <w:t xml:space="preserve"> Data size depends on the format of Target CSI, and RAN1 has no agreements on this. One example is given that the data size is up to around 1.5Mbits (equal to 192kbyte), assuming float 32 and 10 CSI-RS observation instances as input to predict one future CSI instance. However, during the RAN1 discussion, some companies also think 5 CSI-RS observation instances can be used as input to predict one future CSI instance, where the data size would be up to ~900Kbits (112kbyte).</w:t>
      </w:r>
    </w:p>
    <w:p>
      <w:pPr>
        <w:pStyle w:val="8"/>
        <w:ind w:leftChars="100"/>
        <w:jc w:val="both"/>
        <w:rPr>
          <w:rFonts w:hint="eastAsia" w:ascii="Arial" w:hAnsi="Arial" w:eastAsia="等线" w:cs="Arial"/>
          <w:sz w:val="20"/>
          <w:szCs w:val="21"/>
          <w:lang w:val="en-US" w:eastAsia="zh-CN"/>
        </w:rPr>
      </w:pPr>
      <w:r>
        <w:rPr>
          <w:rFonts w:hint="eastAsia" w:ascii="Arial" w:hAnsi="Arial" w:eastAsia="等线" w:cs="Arial"/>
          <w:b/>
          <w:bCs/>
          <w:sz w:val="20"/>
          <w:szCs w:val="21"/>
          <w:lang w:val="en-US" w:eastAsia="zh-CN"/>
        </w:rPr>
        <w:t xml:space="preserve">- For beam management: </w:t>
      </w:r>
      <w:r>
        <w:rPr>
          <w:rFonts w:hint="eastAsia" w:ascii="Arial" w:hAnsi="Arial" w:eastAsia="等线" w:cs="Arial"/>
          <w:sz w:val="20"/>
          <w:szCs w:val="21"/>
          <w:lang w:val="en-US" w:eastAsia="zh-CN"/>
        </w:rPr>
        <w:t>RAN1 provides examples of the typical data size for BM Case 1, it would be up to hundreds of bits (e.g. ~500bits if Set A = 128, 7bits for the strongest beam and 4 bits for the remaining beams).</w:t>
      </w:r>
    </w:p>
    <w:p>
      <w:pPr>
        <w:pStyle w:val="8"/>
        <w:ind w:leftChars="100"/>
        <w:jc w:val="both"/>
        <w:rPr>
          <w:rFonts w:hint="default" w:ascii="Arial" w:hAnsi="Arial" w:eastAsia="等线" w:cs="Arial"/>
          <w:sz w:val="20"/>
          <w:szCs w:val="21"/>
          <w:lang w:val="en-US" w:eastAsia="zh-CN"/>
        </w:rPr>
      </w:pPr>
      <w:r>
        <w:rPr>
          <w:rFonts w:hint="eastAsia" w:ascii="Arial" w:hAnsi="Arial" w:eastAsia="等线" w:cs="Arial"/>
          <w:b/>
          <w:bCs/>
          <w:sz w:val="20"/>
          <w:szCs w:val="21"/>
          <w:lang w:val="en-US" w:eastAsia="zh-CN"/>
        </w:rPr>
        <w:t xml:space="preserve">- For positioning: </w:t>
      </w:r>
      <w:r>
        <w:rPr>
          <w:rFonts w:hint="eastAsia" w:ascii="Arial" w:hAnsi="Arial" w:eastAsia="等线" w:cs="Arial"/>
          <w:sz w:val="20"/>
          <w:szCs w:val="21"/>
          <w:lang w:val="en-US" w:eastAsia="zh-CN"/>
        </w:rPr>
        <w:t>The data size depends on number of PRS/SRS resources, and the existing spec allows reporting up to 64 PRS/SRS resource per frequency layer. The typical data size per PRS/SRS resource may be 10s bits to 100bits for different data content, for 64 PRS/SRS, the typical data size would be 640bits to 6400bits.</w:t>
      </w:r>
    </w:p>
    <w:p>
      <w:pPr>
        <w:pStyle w:val="8"/>
        <w:jc w:val="both"/>
        <w:rPr>
          <w:rFonts w:hint="eastAsia" w:ascii="Arial" w:hAnsi="Arial" w:eastAsia="等线" w:cs="Arial"/>
          <w:b/>
          <w:bCs/>
          <w:sz w:val="20"/>
          <w:szCs w:val="21"/>
          <w:lang w:val="en-US" w:eastAsia="zh-CN"/>
        </w:rPr>
      </w:pPr>
      <w:r>
        <w:rPr>
          <w:rFonts w:hint="eastAsia" w:ascii="Arial" w:hAnsi="Arial" w:eastAsia="等线" w:cs="Arial"/>
          <w:b/>
          <w:bCs/>
          <w:sz w:val="20"/>
          <w:szCs w:val="21"/>
          <w:lang w:val="en-US" w:eastAsia="zh-CN"/>
        </w:rPr>
        <w:t>Observation 1: The typical data size for model training per data sample would be about 10s of bits to a few 1000bits even ~150Kbits for CSI compression, beam management and positioning.</w:t>
      </w:r>
    </w:p>
    <w:p>
      <w:pPr>
        <w:pStyle w:val="8"/>
        <w:jc w:val="both"/>
        <w:rPr>
          <w:rFonts w:hint="default" w:ascii="Arial" w:hAnsi="Arial" w:eastAsia="等线" w:cs="Arial"/>
          <w:b/>
          <w:bCs/>
          <w:sz w:val="20"/>
          <w:szCs w:val="21"/>
          <w:lang w:val="en-US" w:eastAsia="zh-CN"/>
        </w:rPr>
      </w:pPr>
      <w:r>
        <w:rPr>
          <w:rFonts w:hint="eastAsia" w:ascii="Arial" w:hAnsi="Arial" w:eastAsia="等线" w:cs="Arial"/>
          <w:b/>
          <w:bCs/>
          <w:sz w:val="20"/>
          <w:szCs w:val="21"/>
          <w:lang w:val="en-US" w:eastAsia="zh-CN"/>
        </w:rPr>
        <w:t>Observation 2: The typical data size for model training per data sample would be up to around 1.5Mbits (maybe ~hundreds of Kbits) for CSI prediction.</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2"/>
              <w:spacing w:line="360" w:lineRule="auto"/>
              <w:ind w:left="0" w:leftChars="0" w:firstLine="0" w:firstLineChars="0"/>
              <w:jc w:val="both"/>
              <w:rPr>
                <w:rFonts w:hint="default" w:ascii="Arial" w:hAnsi="Arial" w:eastAsia="等线" w:cs="Arial"/>
                <w:b/>
                <w:bCs/>
                <w:sz w:val="16"/>
                <w:szCs w:val="16"/>
                <w:lang w:val="en-US" w:eastAsia="zh-CN"/>
              </w:rPr>
            </w:pPr>
            <w:r>
              <w:rPr>
                <w:rFonts w:hint="eastAsia" w:ascii="Arial" w:hAnsi="Arial" w:eastAsia="等线" w:cs="Arial"/>
                <w:b/>
                <w:bCs/>
                <w:sz w:val="16"/>
                <w:szCs w:val="16"/>
                <w:lang w:val="en-US" w:eastAsia="zh-CN"/>
              </w:rPr>
              <w:t>From RAN1 reply LS [4]:</w:t>
            </w:r>
          </w:p>
          <w:p>
            <w:pPr>
              <w:pStyle w:val="22"/>
              <w:spacing w:line="360" w:lineRule="auto"/>
              <w:ind w:left="0" w:leftChars="0" w:firstLine="0" w:firstLineChars="0"/>
              <w:jc w:val="both"/>
              <w:rPr>
                <w:rFonts w:hint="default" w:ascii="Arial" w:hAnsi="Arial" w:eastAsia="等线" w:cs="Arial"/>
                <w:b/>
                <w:bCs/>
                <w:sz w:val="16"/>
                <w:szCs w:val="16"/>
                <w:lang w:val="en-US" w:eastAsia="zh-CN"/>
              </w:rPr>
            </w:pPr>
            <w:r>
              <w:rPr>
                <w:rFonts w:hint="default" w:ascii="Arial" w:hAnsi="Arial" w:eastAsia="等线" w:cs="Arial"/>
                <w:b/>
                <w:bCs/>
                <w:sz w:val="16"/>
                <w:szCs w:val="16"/>
                <w:lang w:eastAsia="zh-CN"/>
              </w:rPr>
              <w:t>For CSI compression</w:t>
            </w:r>
            <w:r>
              <w:rPr>
                <w:rFonts w:hint="eastAsia" w:ascii="Arial" w:hAnsi="Arial" w:eastAsia="等线" w:cs="Arial"/>
                <w:b/>
                <w:bCs/>
                <w:sz w:val="16"/>
                <w:szCs w:val="16"/>
                <w:lang w:val="en-US" w:eastAsia="zh-CN"/>
              </w:rPr>
              <w:t>:</w:t>
            </w:r>
          </w:p>
          <w:tbl>
            <w:tblPr>
              <w:tblStyle w:val="13"/>
              <w:tblW w:w="9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1"/>
              <w:gridCol w:w="1454"/>
              <w:gridCol w:w="1440"/>
              <w:gridCol w:w="1260"/>
              <w:gridCol w:w="4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rPr>
                      <w:rFonts w:hint="default" w:ascii="Arial" w:hAnsi="Arial" w:cs="Arial"/>
                      <w:b/>
                      <w:bCs/>
                      <w:sz w:val="16"/>
                      <w:szCs w:val="16"/>
                    </w:rPr>
                  </w:pPr>
                  <w:r>
                    <w:rPr>
                      <w:rFonts w:hint="default" w:ascii="Arial" w:hAnsi="Arial" w:cs="Arial"/>
                      <w:b/>
                      <w:bCs/>
                      <w:sz w:val="16"/>
                      <w:szCs w:val="16"/>
                    </w:rPr>
                    <w:t>LCM purpose</w:t>
                  </w:r>
                </w:p>
              </w:tc>
              <w:tc>
                <w:tcPr>
                  <w:tcW w:w="1454"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rPr>
                      <w:rFonts w:hint="default" w:ascii="Arial" w:hAnsi="Arial" w:cs="Arial"/>
                      <w:b/>
                      <w:bCs/>
                      <w:sz w:val="16"/>
                      <w:szCs w:val="16"/>
                    </w:rPr>
                  </w:pPr>
                  <w:r>
                    <w:rPr>
                      <w:rFonts w:hint="default" w:ascii="Arial" w:hAnsi="Arial" w:cs="Arial"/>
                      <w:b/>
                      <w:bCs/>
                      <w:sz w:val="16"/>
                      <w:szCs w:val="16"/>
                    </w:rPr>
                    <w:t>Data content</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rPr>
                      <w:rFonts w:hint="default" w:ascii="Arial" w:hAnsi="Arial" w:cs="Arial"/>
                      <w:b/>
                      <w:bCs/>
                      <w:sz w:val="16"/>
                      <w:szCs w:val="16"/>
                    </w:rPr>
                  </w:pPr>
                  <w:r>
                    <w:rPr>
                      <w:rFonts w:hint="default" w:ascii="Arial" w:hAnsi="Arial" w:cs="Arial"/>
                      <w:b/>
                      <w:bCs/>
                      <w:sz w:val="16"/>
                      <w:szCs w:val="16"/>
                    </w:rPr>
                    <w:t>Typical data size (per data sample)</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rPr>
                      <w:rFonts w:hint="default" w:ascii="Arial" w:hAnsi="Arial" w:cs="Arial"/>
                      <w:b/>
                      <w:bCs/>
                      <w:sz w:val="16"/>
                      <w:szCs w:val="16"/>
                    </w:rPr>
                  </w:pPr>
                  <w:r>
                    <w:rPr>
                      <w:rFonts w:hint="default" w:ascii="Arial" w:hAnsi="Arial" w:cs="Arial"/>
                      <w:b/>
                      <w:bCs/>
                      <w:sz w:val="16"/>
                      <w:szCs w:val="16"/>
                    </w:rPr>
                    <w:t>Typical latency requirement</w:t>
                  </w:r>
                </w:p>
              </w:tc>
              <w:tc>
                <w:tcPr>
                  <w:tcW w:w="4500"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rPr>
                      <w:rFonts w:hint="default" w:ascii="Arial" w:hAnsi="Arial" w:cs="Arial"/>
                      <w:b/>
                      <w:bCs/>
                      <w:sz w:val="16"/>
                      <w:szCs w:val="16"/>
                    </w:rPr>
                  </w:pPr>
                  <w:r>
                    <w:rPr>
                      <w:rFonts w:hint="default" w:ascii="Arial" w:hAnsi="Arial" w:cs="Arial"/>
                      <w:b/>
                      <w:bCs/>
                      <w:sz w:val="16"/>
                      <w:szCs w:val="16"/>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151" w:type="dxa"/>
                  <w:vMerge w:val="restart"/>
                  <w:tcBorders>
                    <w:top w:val="single" w:color="auto" w:sz="4" w:space="0"/>
                    <w:left w:val="single" w:color="auto" w:sz="4" w:space="0"/>
                    <w:right w:val="single" w:color="auto" w:sz="4" w:space="0"/>
                  </w:tcBorders>
                  <w:shd w:val="clear" w:color="auto" w:fill="auto"/>
                  <w:vAlign w:val="center"/>
                </w:tcPr>
                <w:p>
                  <w:pPr>
                    <w:snapToGrid w:val="0"/>
                    <w:spacing w:before="100" w:beforeAutospacing="1" w:after="120"/>
                    <w:rPr>
                      <w:rFonts w:hint="default" w:ascii="Arial" w:hAnsi="Arial" w:cs="Arial"/>
                      <w:sz w:val="16"/>
                      <w:szCs w:val="16"/>
                    </w:rPr>
                  </w:pPr>
                  <w:r>
                    <w:rPr>
                      <w:rFonts w:hint="default" w:ascii="Arial" w:hAnsi="Arial" w:cs="Arial"/>
                      <w:sz w:val="16"/>
                      <w:szCs w:val="16"/>
                    </w:rPr>
                    <w:t>Training</w:t>
                  </w:r>
                </w:p>
              </w:tc>
              <w:tc>
                <w:tcPr>
                  <w:tcW w:w="1454" w:type="dxa"/>
                  <w:tcBorders>
                    <w:top w:val="single" w:color="auto" w:sz="4" w:space="0"/>
                    <w:left w:val="single" w:color="auto" w:sz="4" w:space="0"/>
                    <w:right w:val="single" w:color="auto" w:sz="4" w:space="0"/>
                  </w:tcBorders>
                  <w:shd w:val="clear" w:color="auto" w:fill="auto"/>
                  <w:vAlign w:val="center"/>
                </w:tcPr>
                <w:p>
                  <w:pPr>
                    <w:snapToGrid w:val="0"/>
                    <w:spacing w:before="100" w:beforeAutospacing="1" w:after="120"/>
                    <w:rPr>
                      <w:rFonts w:hint="default" w:ascii="Arial" w:hAnsi="Arial" w:cs="Arial"/>
                      <w:sz w:val="16"/>
                      <w:szCs w:val="16"/>
                    </w:rPr>
                  </w:pPr>
                  <w:r>
                    <w:rPr>
                      <w:rFonts w:hint="default" w:ascii="Arial" w:hAnsi="Arial" w:cs="Arial"/>
                      <w:sz w:val="16"/>
                      <w:szCs w:val="16"/>
                    </w:rPr>
                    <w:t xml:space="preserve">Target CSI </w:t>
                  </w:r>
                </w:p>
              </w:tc>
              <w:tc>
                <w:tcPr>
                  <w:tcW w:w="1440" w:type="dxa"/>
                  <w:tcBorders>
                    <w:top w:val="single" w:color="auto" w:sz="4" w:space="0"/>
                    <w:left w:val="single" w:color="auto" w:sz="4" w:space="0"/>
                    <w:right w:val="single" w:color="auto" w:sz="4" w:space="0"/>
                  </w:tcBorders>
                  <w:shd w:val="clear" w:color="auto" w:fill="auto"/>
                  <w:vAlign w:val="center"/>
                </w:tcPr>
                <w:p>
                  <w:pPr>
                    <w:snapToGrid w:val="0"/>
                    <w:spacing w:before="100" w:beforeAutospacing="1" w:after="120"/>
                    <w:rPr>
                      <w:rFonts w:hint="default" w:ascii="Arial" w:hAnsi="Arial" w:cs="Arial"/>
                      <w:sz w:val="16"/>
                      <w:szCs w:val="16"/>
                    </w:rPr>
                  </w:pPr>
                  <w:r>
                    <w:rPr>
                      <w:rFonts w:hint="default" w:ascii="Arial" w:hAnsi="Arial" w:cs="Arial"/>
                      <w:sz w:val="16"/>
                      <w:szCs w:val="16"/>
                    </w:rPr>
                    <w:t>See Notes 1, 2</w:t>
                  </w:r>
                </w:p>
              </w:tc>
              <w:tc>
                <w:tcPr>
                  <w:tcW w:w="1260" w:type="dxa"/>
                  <w:tcBorders>
                    <w:top w:val="single" w:color="auto" w:sz="4" w:space="0"/>
                    <w:left w:val="single" w:color="auto" w:sz="4" w:space="0"/>
                    <w:right w:val="single" w:color="auto" w:sz="4" w:space="0"/>
                  </w:tcBorders>
                  <w:shd w:val="clear" w:color="auto" w:fill="auto"/>
                  <w:vAlign w:val="center"/>
                </w:tcPr>
                <w:p>
                  <w:pPr>
                    <w:snapToGrid w:val="0"/>
                    <w:spacing w:before="100" w:beforeAutospacing="1" w:after="120"/>
                    <w:rPr>
                      <w:rFonts w:hint="default" w:ascii="Arial" w:hAnsi="Arial" w:cs="Arial"/>
                      <w:sz w:val="16"/>
                      <w:szCs w:val="16"/>
                    </w:rPr>
                  </w:pPr>
                  <w:r>
                    <w:rPr>
                      <w:rFonts w:hint="default" w:ascii="Arial" w:hAnsi="Arial" w:cs="Arial"/>
                      <w:sz w:val="16"/>
                      <w:szCs w:val="16"/>
                    </w:rPr>
                    <w:t>Relaxed</w:t>
                  </w:r>
                </w:p>
              </w:tc>
              <w:tc>
                <w:tcPr>
                  <w:tcW w:w="4500" w:type="dxa"/>
                  <w:tcBorders>
                    <w:top w:val="single" w:color="auto" w:sz="4" w:space="0"/>
                    <w:left w:val="single" w:color="auto" w:sz="4" w:space="0"/>
                    <w:right w:val="single" w:color="auto" w:sz="4" w:space="0"/>
                  </w:tcBorders>
                  <w:shd w:val="clear" w:color="auto" w:fill="auto"/>
                  <w:vAlign w:val="center"/>
                </w:tcPr>
                <w:p>
                  <w:pPr>
                    <w:snapToGrid w:val="0"/>
                    <w:spacing w:before="100" w:beforeAutospacing="1" w:after="120"/>
                    <w:rPr>
                      <w:rFonts w:hint="default" w:ascii="Arial" w:hAnsi="Arial" w:cs="Arial"/>
                      <w:sz w:val="16"/>
                      <w:szCs w:val="16"/>
                    </w:rPr>
                  </w:pPr>
                  <w:r>
                    <w:rPr>
                      <w:rFonts w:hint="default" w:ascii="Arial" w:hAnsi="Arial" w:cs="Arial"/>
                      <w:sz w:val="16"/>
                      <w:szCs w:val="16"/>
                    </w:rPr>
                    <w:t>This row applies to Type 1, Type 2, and the first or second stage of described procedure of Type 3 separate training.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1151" w:type="dxa"/>
                  <w:vMerge w:val="continue"/>
                  <w:tcBorders>
                    <w:left w:val="single" w:color="auto" w:sz="4" w:space="0"/>
                    <w:right w:val="single" w:color="auto" w:sz="4" w:space="0"/>
                  </w:tcBorders>
                  <w:shd w:val="clear" w:color="auto" w:fill="auto"/>
                  <w:vAlign w:val="center"/>
                </w:tcPr>
                <w:p>
                  <w:pPr>
                    <w:rPr>
                      <w:rFonts w:hint="default" w:ascii="Arial" w:hAnsi="Arial" w:cs="Arial"/>
                      <w:sz w:val="16"/>
                      <w:szCs w:val="16"/>
                    </w:rPr>
                  </w:pPr>
                </w:p>
              </w:tc>
              <w:tc>
                <w:tcPr>
                  <w:tcW w:w="1454"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rPr>
                      <w:rFonts w:hint="default" w:ascii="Arial" w:hAnsi="Arial" w:cs="Arial"/>
                      <w:sz w:val="16"/>
                      <w:szCs w:val="16"/>
                    </w:rPr>
                  </w:pPr>
                  <w:r>
                    <w:rPr>
                      <w:rFonts w:hint="default" w:ascii="Arial" w:hAnsi="Arial" w:cs="Arial"/>
                      <w:sz w:val="16"/>
                      <w:szCs w:val="16"/>
                    </w:rPr>
                    <w:t>CSI Feedback</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rPr>
                      <w:rFonts w:hint="default" w:ascii="Arial" w:hAnsi="Arial" w:cs="Arial"/>
                      <w:sz w:val="16"/>
                      <w:szCs w:val="16"/>
                    </w:rPr>
                  </w:pPr>
                  <w:r>
                    <w:rPr>
                      <w:rFonts w:hint="default" w:ascii="Arial" w:hAnsi="Arial" w:cs="Arial"/>
                      <w:sz w:val="16"/>
                      <w:szCs w:val="16"/>
                    </w:rPr>
                    <w:t>See Note 3</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rPr>
                      <w:rFonts w:hint="default" w:ascii="Arial" w:hAnsi="Arial" w:cs="Arial"/>
                      <w:sz w:val="16"/>
                      <w:szCs w:val="16"/>
                    </w:rPr>
                  </w:pPr>
                  <w:r>
                    <w:rPr>
                      <w:rFonts w:hint="default" w:ascii="Arial" w:hAnsi="Arial" w:cs="Arial"/>
                      <w:sz w:val="16"/>
                      <w:szCs w:val="16"/>
                    </w:rPr>
                    <w:t>Relaxed</w:t>
                  </w:r>
                </w:p>
              </w:tc>
              <w:tc>
                <w:tcPr>
                  <w:tcW w:w="4500"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rPr>
                      <w:rFonts w:hint="default" w:ascii="Arial" w:hAnsi="Arial" w:cs="Arial"/>
                      <w:sz w:val="16"/>
                      <w:szCs w:val="16"/>
                    </w:rPr>
                  </w:pPr>
                  <w:r>
                    <w:rPr>
                      <w:rFonts w:hint="default" w:ascii="Arial" w:hAnsi="Arial" w:cs="Arial"/>
                      <w:sz w:val="16"/>
                      <w:szCs w:val="16"/>
                    </w:rPr>
                    <w:t>This is for dataset delivery for the second stage of described procedure of Type 3 separate training (either from Network side to UE side, or from UE side to Network side) and forward propagation information for Type 2 training.</w:t>
                  </w:r>
                </w:p>
                <w:p>
                  <w:pPr>
                    <w:snapToGrid w:val="0"/>
                    <w:spacing w:before="100" w:beforeAutospacing="1" w:after="120"/>
                    <w:rPr>
                      <w:rFonts w:hint="default" w:ascii="Arial" w:hAnsi="Arial" w:cs="Arial"/>
                      <w:sz w:val="16"/>
                      <w:szCs w:val="16"/>
                    </w:rPr>
                  </w:pPr>
                  <w:r>
                    <w:rPr>
                      <w:rFonts w:hint="default" w:ascii="Arial" w:hAnsi="Arial" w:cs="Arial"/>
                      <w:sz w:val="16"/>
                      <w:szCs w:val="16"/>
                    </w:rPr>
                    <w:t>See 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vMerge w:val="continue"/>
                  <w:tcBorders>
                    <w:left w:val="single" w:color="auto" w:sz="4" w:space="0"/>
                    <w:right w:val="single" w:color="auto" w:sz="4" w:space="0"/>
                  </w:tcBorders>
                  <w:shd w:val="clear" w:color="auto" w:fill="auto"/>
                  <w:vAlign w:val="center"/>
                </w:tcPr>
                <w:p>
                  <w:pPr>
                    <w:rPr>
                      <w:rFonts w:hint="default" w:ascii="Arial" w:hAnsi="Arial" w:cs="Arial"/>
                      <w:sz w:val="16"/>
                      <w:szCs w:val="16"/>
                    </w:rPr>
                  </w:pPr>
                </w:p>
              </w:tc>
              <w:tc>
                <w:tcPr>
                  <w:tcW w:w="1454"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rPr>
                      <w:rFonts w:hint="default" w:ascii="Arial" w:hAnsi="Arial" w:cs="Arial"/>
                      <w:sz w:val="16"/>
                      <w:szCs w:val="16"/>
                    </w:rPr>
                  </w:pPr>
                  <w:r>
                    <w:rPr>
                      <w:rFonts w:hint="default" w:ascii="Arial" w:hAnsi="Arial" w:cs="Arial"/>
                      <w:sz w:val="16"/>
                      <w:szCs w:val="16"/>
                    </w:rPr>
                    <w:t>Gradients for CSI Feeback</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rPr>
                      <w:rFonts w:hint="default" w:ascii="Arial" w:hAnsi="Arial" w:cs="Arial"/>
                      <w:sz w:val="16"/>
                      <w:szCs w:val="16"/>
                    </w:rPr>
                  </w:pPr>
                  <w:r>
                    <w:rPr>
                      <w:rFonts w:hint="default" w:ascii="Arial" w:hAnsi="Arial" w:cs="Arial"/>
                      <w:sz w:val="16"/>
                      <w:szCs w:val="16"/>
                    </w:rPr>
                    <w:t>No agreement</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rPr>
                      <w:rFonts w:hint="default" w:ascii="Arial" w:hAnsi="Arial" w:cs="Arial"/>
                      <w:sz w:val="16"/>
                      <w:szCs w:val="16"/>
                    </w:rPr>
                  </w:pPr>
                  <w:r>
                    <w:rPr>
                      <w:rFonts w:hint="default" w:ascii="Arial" w:hAnsi="Arial" w:cs="Arial"/>
                      <w:sz w:val="16"/>
                      <w:szCs w:val="16"/>
                    </w:rPr>
                    <w:t>Relaxed</w:t>
                  </w:r>
                </w:p>
              </w:tc>
              <w:tc>
                <w:tcPr>
                  <w:tcW w:w="4500"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rPr>
                      <w:rFonts w:hint="default" w:ascii="Arial" w:hAnsi="Arial" w:cs="Arial"/>
                      <w:sz w:val="16"/>
                      <w:szCs w:val="16"/>
                    </w:rPr>
                  </w:pPr>
                  <w:r>
                    <w:rPr>
                      <w:rFonts w:hint="default" w:ascii="Arial" w:hAnsi="Arial" w:cs="Arial"/>
                      <w:sz w:val="16"/>
                      <w:szCs w:val="16"/>
                    </w:rPr>
                    <w:t>This is for backward propagation for Type 2 training</w:t>
                  </w:r>
                </w:p>
                <w:p>
                  <w:pPr>
                    <w:snapToGrid w:val="0"/>
                    <w:spacing w:before="100" w:beforeAutospacing="1" w:after="120"/>
                    <w:rPr>
                      <w:rFonts w:hint="default" w:ascii="Arial" w:hAnsi="Arial" w:cs="Arial"/>
                      <w:sz w:val="16"/>
                      <w:szCs w:val="16"/>
                    </w:rPr>
                  </w:pPr>
                  <w:r>
                    <w:rPr>
                      <w:rFonts w:hint="default" w:ascii="Arial" w:hAnsi="Arial" w:cs="Arial"/>
                      <w:sz w:val="16"/>
                      <w:szCs w:val="16"/>
                    </w:rPr>
                    <w:t>See Note 7</w:t>
                  </w:r>
                </w:p>
              </w:tc>
            </w:tr>
          </w:tbl>
          <w:p>
            <w:pPr>
              <w:keepNext w:val="0"/>
              <w:keepLines w:val="0"/>
              <w:pageBreakBefore w:val="0"/>
              <w:widowControl w:val="0"/>
              <w:kinsoku/>
              <w:wordWrap/>
              <w:overflowPunct/>
              <w:topLinePunct w:val="0"/>
              <w:autoSpaceDE/>
              <w:autoSpaceDN/>
              <w:bidi w:val="0"/>
              <w:adjustRightInd/>
              <w:snapToGrid/>
              <w:spacing w:line="264" w:lineRule="auto"/>
              <w:textAlignment w:val="auto"/>
              <w:rPr>
                <w:rFonts w:hint="default" w:ascii="Arial" w:hAnsi="Arial" w:cs="Arial"/>
                <w:i/>
                <w:iCs/>
                <w:sz w:val="16"/>
                <w:szCs w:val="18"/>
              </w:rPr>
            </w:pPr>
            <w:r>
              <w:rPr>
                <w:rFonts w:hint="default" w:ascii="Arial" w:hAnsi="Arial" w:cs="Arial"/>
                <w:i/>
                <w:iCs/>
                <w:sz w:val="16"/>
                <w:szCs w:val="18"/>
              </w:rPr>
              <w:t>Note 1: Target CSI may be precoding matrix or channel matrix. RAN1’s reply for data size is based on precoding Matrix which has been more widely evaluated than channel matrix.</w:t>
            </w:r>
          </w:p>
          <w:p>
            <w:pPr>
              <w:keepNext w:val="0"/>
              <w:keepLines w:val="0"/>
              <w:pageBreakBefore w:val="0"/>
              <w:widowControl w:val="0"/>
              <w:kinsoku/>
              <w:wordWrap/>
              <w:overflowPunct/>
              <w:topLinePunct w:val="0"/>
              <w:autoSpaceDE/>
              <w:autoSpaceDN/>
              <w:bidi w:val="0"/>
              <w:adjustRightInd/>
              <w:snapToGrid/>
              <w:spacing w:line="264" w:lineRule="auto"/>
              <w:textAlignment w:val="auto"/>
              <w:rPr>
                <w:rFonts w:hint="default" w:ascii="Arial" w:hAnsi="Arial" w:cs="Arial"/>
                <w:i/>
                <w:iCs/>
                <w:sz w:val="16"/>
                <w:szCs w:val="18"/>
              </w:rPr>
            </w:pPr>
            <w:r>
              <w:rPr>
                <w:rFonts w:hint="default" w:ascii="Arial" w:hAnsi="Arial" w:cs="Arial"/>
                <w:i/>
                <w:iCs/>
                <w:sz w:val="16"/>
                <w:szCs w:val="18"/>
              </w:rPr>
              <w:t xml:space="preserve">Note 2: Data size for target CSI depends on the format. There is no agreement on the format or necessary precision of the target CSI. Some examples based on companies’ evaluations are: </w:t>
            </w:r>
            <w:r>
              <w:rPr>
                <w:rFonts w:hint="default" w:ascii="Arial" w:hAnsi="Arial" w:cs="Arial"/>
                <w:i/>
                <w:iCs/>
                <w:sz w:val="16"/>
                <w:szCs w:val="18"/>
                <w:highlight w:val="yellow"/>
              </w:rPr>
              <w:t>eType-II format (up to ~1000 bits), eType-II-like format (~ a few 1000 bits), and float32 format (up to ~ 150K bits)</w:t>
            </w:r>
            <w:r>
              <w:rPr>
                <w:rFonts w:hint="default" w:ascii="Arial" w:hAnsi="Arial" w:cs="Arial"/>
                <w:i/>
                <w:iCs/>
                <w:sz w:val="16"/>
                <w:szCs w:val="18"/>
              </w:rPr>
              <w:t xml:space="preserve">. The data size may also vary depending on the configuration, and the captured value indicates the order of magnitude of the typical data size per sample as a guideline. </w:t>
            </w:r>
          </w:p>
          <w:p>
            <w:pPr>
              <w:keepNext w:val="0"/>
              <w:keepLines w:val="0"/>
              <w:pageBreakBefore w:val="0"/>
              <w:widowControl w:val="0"/>
              <w:kinsoku/>
              <w:wordWrap/>
              <w:overflowPunct/>
              <w:topLinePunct w:val="0"/>
              <w:autoSpaceDE/>
              <w:autoSpaceDN/>
              <w:bidi w:val="0"/>
              <w:adjustRightInd/>
              <w:snapToGrid/>
              <w:spacing w:line="264" w:lineRule="auto"/>
              <w:textAlignment w:val="auto"/>
              <w:rPr>
                <w:rFonts w:hint="default" w:ascii="Arial" w:hAnsi="Arial" w:cs="Arial"/>
                <w:i/>
                <w:iCs/>
                <w:sz w:val="16"/>
                <w:szCs w:val="18"/>
              </w:rPr>
            </w:pPr>
            <w:r>
              <w:rPr>
                <w:rFonts w:hint="default" w:ascii="Arial" w:hAnsi="Arial" w:cs="Arial"/>
                <w:i/>
                <w:iCs/>
                <w:sz w:val="16"/>
                <w:szCs w:val="18"/>
              </w:rPr>
              <w:t xml:space="preserve">Note 3: There is no agreement on the CSI feedback size. Values in the order of eType II payload size may be assumed </w:t>
            </w:r>
            <w:r>
              <w:rPr>
                <w:rFonts w:hint="default" w:ascii="Arial" w:hAnsi="Arial" w:cs="Arial"/>
                <w:i/>
                <w:iCs/>
                <w:sz w:val="16"/>
                <w:szCs w:val="18"/>
                <w:highlight w:val="yellow"/>
              </w:rPr>
              <w:t>(up to ~ 1000 bits)</w:t>
            </w:r>
            <w:r>
              <w:rPr>
                <w:rFonts w:hint="default" w:ascii="Arial" w:hAnsi="Arial" w:cs="Arial"/>
                <w:i/>
                <w:iCs/>
                <w:sz w:val="16"/>
                <w:szCs w:val="18"/>
              </w:rPr>
              <w:t xml:space="preserve"> for RAN2 discussion.</w:t>
            </w:r>
          </w:p>
          <w:p>
            <w:pPr>
              <w:keepNext w:val="0"/>
              <w:keepLines w:val="0"/>
              <w:pageBreakBefore w:val="0"/>
              <w:widowControl w:val="0"/>
              <w:kinsoku/>
              <w:wordWrap/>
              <w:overflowPunct/>
              <w:topLinePunct w:val="0"/>
              <w:autoSpaceDE/>
              <w:autoSpaceDN/>
              <w:bidi w:val="0"/>
              <w:adjustRightInd/>
              <w:snapToGrid/>
              <w:spacing w:line="264" w:lineRule="auto"/>
              <w:textAlignment w:val="auto"/>
              <w:rPr>
                <w:rFonts w:hint="default" w:ascii="Arial" w:hAnsi="Arial" w:cs="Arial"/>
                <w:i/>
                <w:iCs/>
                <w:sz w:val="16"/>
                <w:szCs w:val="18"/>
              </w:rPr>
            </w:pPr>
            <w:r>
              <w:rPr>
                <w:rFonts w:hint="default" w:ascii="Arial" w:hAnsi="Arial" w:cs="Arial"/>
                <w:i/>
                <w:iCs/>
                <w:sz w:val="16"/>
                <w:szCs w:val="18"/>
              </w:rPr>
              <w:t>Note 7: RAN1 has agreed to deprioritize Type 2 training over the air interface.</w:t>
            </w:r>
          </w:p>
          <w:p>
            <w:pPr>
              <w:keepNext w:val="0"/>
              <w:keepLines w:val="0"/>
              <w:pageBreakBefore w:val="0"/>
              <w:widowControl w:val="0"/>
              <w:kinsoku/>
              <w:wordWrap/>
              <w:overflowPunct/>
              <w:topLinePunct w:val="0"/>
              <w:autoSpaceDE/>
              <w:autoSpaceDN/>
              <w:bidi w:val="0"/>
              <w:adjustRightInd/>
              <w:snapToGrid/>
              <w:spacing w:line="264" w:lineRule="auto"/>
              <w:textAlignment w:val="auto"/>
              <w:rPr>
                <w:rFonts w:hint="default" w:ascii="Arial" w:hAnsi="Arial" w:cs="Arial"/>
                <w:i/>
                <w:iCs/>
                <w:sz w:val="16"/>
                <w:szCs w:val="18"/>
                <w:lang w:val="en-US" w:eastAsia="zh-CN"/>
              </w:rPr>
            </w:pPr>
          </w:p>
          <w:p>
            <w:pPr>
              <w:pStyle w:val="22"/>
              <w:spacing w:line="360" w:lineRule="auto"/>
              <w:ind w:left="0" w:leftChars="0" w:firstLine="0" w:firstLineChars="0"/>
              <w:jc w:val="both"/>
              <w:rPr>
                <w:rFonts w:hint="default" w:ascii="Arial" w:hAnsi="Arial" w:eastAsia="等线" w:cs="Arial"/>
                <w:b/>
                <w:bCs/>
                <w:sz w:val="16"/>
                <w:szCs w:val="16"/>
                <w:lang w:val="en-US" w:eastAsia="zh-CN"/>
              </w:rPr>
            </w:pPr>
            <w:r>
              <w:rPr>
                <w:rFonts w:hint="default" w:ascii="Arial" w:hAnsi="Arial" w:eastAsia="等线" w:cs="Arial"/>
                <w:b/>
                <w:bCs/>
                <w:sz w:val="16"/>
                <w:szCs w:val="16"/>
                <w:lang w:eastAsia="zh-CN"/>
              </w:rPr>
              <w:t>For CSI prediction at UE side</w:t>
            </w:r>
            <w:r>
              <w:rPr>
                <w:rFonts w:hint="eastAsia" w:ascii="Arial" w:hAnsi="Arial" w:eastAsia="等线" w:cs="Arial"/>
                <w:b/>
                <w:bCs/>
                <w:sz w:val="16"/>
                <w:szCs w:val="16"/>
                <w:lang w:val="en-US" w:eastAsia="zh-CN"/>
              </w:rPr>
              <w:t>:</w:t>
            </w:r>
          </w:p>
          <w:tbl>
            <w:tblPr>
              <w:tblStyle w:val="13"/>
              <w:tblW w:w="98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8"/>
              <w:gridCol w:w="2587"/>
              <w:gridCol w:w="1890"/>
              <w:gridCol w:w="1710"/>
              <w:gridCol w:w="2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shd w:val="clear" w:color="auto" w:fill="auto"/>
                  <w:vAlign w:val="center"/>
                </w:tcPr>
                <w:p>
                  <w:pPr>
                    <w:snapToGrid w:val="0"/>
                    <w:spacing w:before="100" w:beforeAutospacing="1" w:after="120"/>
                    <w:rPr>
                      <w:rFonts w:hint="default" w:ascii="Arial" w:hAnsi="Arial" w:cs="Arial"/>
                      <w:b/>
                      <w:bCs/>
                      <w:sz w:val="16"/>
                      <w:szCs w:val="18"/>
                    </w:rPr>
                  </w:pPr>
                  <w:r>
                    <w:rPr>
                      <w:rFonts w:hint="default" w:ascii="Arial" w:hAnsi="Arial" w:cs="Arial"/>
                      <w:b/>
                      <w:bCs/>
                      <w:sz w:val="16"/>
                      <w:szCs w:val="18"/>
                    </w:rPr>
                    <w:t>LCM purpose</w:t>
                  </w:r>
                </w:p>
              </w:tc>
              <w:tc>
                <w:tcPr>
                  <w:tcW w:w="2587" w:type="dxa"/>
                  <w:shd w:val="clear" w:color="auto" w:fill="auto"/>
                  <w:vAlign w:val="center"/>
                </w:tcPr>
                <w:p>
                  <w:pPr>
                    <w:snapToGrid w:val="0"/>
                    <w:spacing w:before="100" w:beforeAutospacing="1" w:after="120"/>
                    <w:rPr>
                      <w:rFonts w:hint="default" w:ascii="Arial" w:hAnsi="Arial" w:cs="Arial"/>
                      <w:b/>
                      <w:bCs/>
                      <w:sz w:val="16"/>
                      <w:szCs w:val="18"/>
                    </w:rPr>
                  </w:pPr>
                  <w:r>
                    <w:rPr>
                      <w:rFonts w:hint="default" w:ascii="Arial" w:hAnsi="Arial" w:cs="Arial"/>
                      <w:b/>
                      <w:bCs/>
                      <w:sz w:val="16"/>
                      <w:szCs w:val="18"/>
                    </w:rPr>
                    <w:t>Data content</w:t>
                  </w:r>
                </w:p>
              </w:tc>
              <w:tc>
                <w:tcPr>
                  <w:tcW w:w="1890" w:type="dxa"/>
                  <w:shd w:val="clear" w:color="auto" w:fill="auto"/>
                  <w:vAlign w:val="center"/>
                </w:tcPr>
                <w:p>
                  <w:pPr>
                    <w:snapToGrid w:val="0"/>
                    <w:spacing w:before="100" w:beforeAutospacing="1" w:after="120"/>
                    <w:rPr>
                      <w:rFonts w:hint="default" w:ascii="Arial" w:hAnsi="Arial" w:cs="Arial"/>
                      <w:b/>
                      <w:bCs/>
                      <w:sz w:val="16"/>
                      <w:szCs w:val="18"/>
                    </w:rPr>
                  </w:pPr>
                  <w:r>
                    <w:rPr>
                      <w:rFonts w:hint="default" w:ascii="Arial" w:hAnsi="Arial" w:cs="Arial"/>
                      <w:b/>
                      <w:bCs/>
                      <w:sz w:val="16"/>
                      <w:szCs w:val="18"/>
                    </w:rPr>
                    <w:t>Typical data size (per data sample)</w:t>
                  </w:r>
                </w:p>
              </w:tc>
              <w:tc>
                <w:tcPr>
                  <w:tcW w:w="1710" w:type="dxa"/>
                  <w:shd w:val="clear" w:color="auto" w:fill="auto"/>
                  <w:vAlign w:val="center"/>
                </w:tcPr>
                <w:p>
                  <w:pPr>
                    <w:snapToGrid w:val="0"/>
                    <w:spacing w:before="100" w:beforeAutospacing="1" w:after="120"/>
                    <w:rPr>
                      <w:rFonts w:hint="default" w:ascii="Arial" w:hAnsi="Arial" w:cs="Arial"/>
                      <w:b/>
                      <w:bCs/>
                      <w:sz w:val="16"/>
                      <w:szCs w:val="18"/>
                    </w:rPr>
                  </w:pPr>
                  <w:r>
                    <w:rPr>
                      <w:rFonts w:hint="default" w:ascii="Arial" w:hAnsi="Arial" w:cs="Arial"/>
                      <w:b/>
                      <w:bCs/>
                      <w:sz w:val="16"/>
                      <w:szCs w:val="18"/>
                    </w:rPr>
                    <w:t>Typical latency requirement</w:t>
                  </w:r>
                </w:p>
              </w:tc>
              <w:tc>
                <w:tcPr>
                  <w:tcW w:w="2520" w:type="dxa"/>
                  <w:shd w:val="clear" w:color="auto" w:fill="auto"/>
                  <w:vAlign w:val="center"/>
                </w:tcPr>
                <w:p>
                  <w:pPr>
                    <w:snapToGrid w:val="0"/>
                    <w:spacing w:before="100" w:beforeAutospacing="1" w:after="120"/>
                    <w:rPr>
                      <w:rFonts w:hint="default" w:ascii="Arial" w:hAnsi="Arial" w:cs="Arial"/>
                      <w:b/>
                      <w:bCs/>
                      <w:sz w:val="16"/>
                      <w:szCs w:val="18"/>
                    </w:rPr>
                  </w:pPr>
                  <w:r>
                    <w:rPr>
                      <w:rFonts w:hint="default" w:ascii="Arial" w:hAnsi="Arial" w:cs="Arial"/>
                      <w:b/>
                      <w:bCs/>
                      <w:sz w:val="16"/>
                      <w:szCs w:val="18"/>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1188" w:type="dxa"/>
                  <w:shd w:val="clear" w:color="auto" w:fill="auto"/>
                  <w:vAlign w:val="center"/>
                </w:tcPr>
                <w:p>
                  <w:pPr>
                    <w:snapToGrid w:val="0"/>
                    <w:spacing w:before="100" w:beforeAutospacing="1" w:after="120"/>
                    <w:rPr>
                      <w:rFonts w:hint="default" w:ascii="Arial" w:hAnsi="Arial" w:cs="Arial"/>
                      <w:sz w:val="16"/>
                      <w:szCs w:val="18"/>
                    </w:rPr>
                  </w:pPr>
                  <w:r>
                    <w:rPr>
                      <w:rFonts w:hint="default" w:ascii="Arial" w:hAnsi="Arial" w:cs="Arial"/>
                      <w:sz w:val="16"/>
                      <w:szCs w:val="18"/>
                    </w:rPr>
                    <w:t>Training</w:t>
                  </w:r>
                </w:p>
              </w:tc>
              <w:tc>
                <w:tcPr>
                  <w:tcW w:w="2587" w:type="dxa"/>
                  <w:shd w:val="clear" w:color="auto" w:fill="auto"/>
                  <w:vAlign w:val="center"/>
                </w:tcPr>
                <w:p>
                  <w:pPr>
                    <w:snapToGrid w:val="0"/>
                    <w:spacing w:before="100" w:beforeAutospacing="1" w:after="120"/>
                    <w:rPr>
                      <w:rFonts w:hint="default" w:ascii="Arial" w:hAnsi="Arial" w:cs="Arial"/>
                      <w:sz w:val="16"/>
                      <w:szCs w:val="18"/>
                    </w:rPr>
                  </w:pPr>
                  <w:r>
                    <w:rPr>
                      <w:rFonts w:hint="default" w:ascii="Arial" w:hAnsi="Arial" w:cs="Arial"/>
                      <w:sz w:val="16"/>
                      <w:szCs w:val="18"/>
                    </w:rPr>
                    <w:t>Target CSI in observation and prediction window</w:t>
                  </w:r>
                </w:p>
              </w:tc>
              <w:tc>
                <w:tcPr>
                  <w:tcW w:w="1890" w:type="dxa"/>
                  <w:shd w:val="clear" w:color="auto" w:fill="auto"/>
                  <w:vAlign w:val="center"/>
                </w:tcPr>
                <w:p>
                  <w:pPr>
                    <w:snapToGrid w:val="0"/>
                    <w:spacing w:before="100" w:beforeAutospacing="1" w:after="120"/>
                    <w:rPr>
                      <w:rFonts w:hint="default" w:ascii="Arial" w:hAnsi="Arial" w:cs="Arial"/>
                      <w:sz w:val="16"/>
                      <w:szCs w:val="18"/>
                    </w:rPr>
                  </w:pPr>
                  <w:r>
                    <w:rPr>
                      <w:rFonts w:hint="default" w:ascii="Arial" w:hAnsi="Arial" w:cs="Arial"/>
                      <w:sz w:val="16"/>
                      <w:szCs w:val="18"/>
                    </w:rPr>
                    <w:t>See Notes 1, 2</w:t>
                  </w:r>
                </w:p>
              </w:tc>
              <w:tc>
                <w:tcPr>
                  <w:tcW w:w="1710" w:type="dxa"/>
                  <w:shd w:val="clear" w:color="auto" w:fill="auto"/>
                  <w:vAlign w:val="center"/>
                </w:tcPr>
                <w:p>
                  <w:pPr>
                    <w:snapToGrid w:val="0"/>
                    <w:spacing w:before="100" w:beforeAutospacing="1" w:after="120"/>
                    <w:rPr>
                      <w:rFonts w:hint="default" w:ascii="Arial" w:hAnsi="Arial" w:cs="Arial"/>
                      <w:sz w:val="16"/>
                      <w:szCs w:val="18"/>
                    </w:rPr>
                  </w:pPr>
                  <w:r>
                    <w:rPr>
                      <w:rFonts w:hint="default" w:ascii="Arial" w:hAnsi="Arial" w:cs="Arial"/>
                      <w:sz w:val="16"/>
                      <w:szCs w:val="18"/>
                    </w:rPr>
                    <w:t>Relaxed</w:t>
                  </w:r>
                </w:p>
              </w:tc>
              <w:tc>
                <w:tcPr>
                  <w:tcW w:w="2520" w:type="dxa"/>
                  <w:shd w:val="clear" w:color="auto" w:fill="auto"/>
                  <w:vAlign w:val="center"/>
                </w:tcPr>
                <w:p>
                  <w:pPr>
                    <w:snapToGrid w:val="0"/>
                    <w:spacing w:before="100" w:beforeAutospacing="1" w:after="120"/>
                    <w:rPr>
                      <w:rFonts w:hint="default" w:ascii="Arial" w:hAnsi="Arial" w:cs="Arial"/>
                      <w:sz w:val="16"/>
                      <w:szCs w:val="18"/>
                    </w:rPr>
                  </w:pPr>
                </w:p>
              </w:tc>
            </w:tr>
          </w:tbl>
          <w:p>
            <w:pPr>
              <w:keepNext w:val="0"/>
              <w:keepLines w:val="0"/>
              <w:pageBreakBefore w:val="0"/>
              <w:widowControl w:val="0"/>
              <w:kinsoku/>
              <w:wordWrap/>
              <w:overflowPunct/>
              <w:topLinePunct w:val="0"/>
              <w:autoSpaceDE/>
              <w:autoSpaceDN/>
              <w:bidi w:val="0"/>
              <w:adjustRightInd/>
              <w:snapToGrid/>
              <w:spacing w:line="264" w:lineRule="auto"/>
              <w:textAlignment w:val="auto"/>
              <w:rPr>
                <w:rFonts w:hint="default" w:ascii="Arial" w:hAnsi="Arial" w:cs="Arial"/>
                <w:i/>
                <w:iCs/>
                <w:sz w:val="16"/>
                <w:szCs w:val="18"/>
              </w:rPr>
            </w:pPr>
            <w:r>
              <w:rPr>
                <w:rFonts w:hint="default" w:ascii="Arial" w:hAnsi="Arial" w:cs="Arial"/>
                <w:i/>
                <w:iCs/>
                <w:sz w:val="16"/>
                <w:szCs w:val="18"/>
              </w:rPr>
              <w:t>Note 1: Target CSI may be precoding matrix or channel matrix. RAN1’s reply for data size is based on channel matrix which has been more widely evaluated than precoding Matrix.</w:t>
            </w:r>
          </w:p>
          <w:p>
            <w:pPr>
              <w:keepNext w:val="0"/>
              <w:keepLines w:val="0"/>
              <w:pageBreakBefore w:val="0"/>
              <w:widowControl w:val="0"/>
              <w:kinsoku/>
              <w:wordWrap/>
              <w:overflowPunct/>
              <w:topLinePunct w:val="0"/>
              <w:autoSpaceDE/>
              <w:autoSpaceDN/>
              <w:bidi w:val="0"/>
              <w:adjustRightInd/>
              <w:snapToGrid/>
              <w:spacing w:line="264" w:lineRule="auto"/>
              <w:textAlignment w:val="auto"/>
              <w:rPr>
                <w:rFonts w:hint="default" w:ascii="Arial" w:hAnsi="Arial" w:cs="Arial"/>
                <w:i/>
                <w:iCs/>
                <w:sz w:val="16"/>
                <w:szCs w:val="18"/>
              </w:rPr>
            </w:pPr>
            <w:r>
              <w:rPr>
                <w:rFonts w:hint="default" w:ascii="Arial" w:hAnsi="Arial" w:cs="Arial"/>
                <w:i/>
                <w:iCs/>
                <w:sz w:val="16"/>
                <w:szCs w:val="18"/>
              </w:rPr>
              <w:t xml:space="preserve">Note 2: Data size for target CSI depends on the format. There is no agreement on the format or precision of the target CSI. The data size may also vary depending on the configuration, and the captured value indicates the order of magnitude of the typical data size per sample as a guideline. One example based on companies’ evaluations is </w:t>
            </w:r>
            <w:r>
              <w:rPr>
                <w:rFonts w:hint="default" w:ascii="Arial" w:hAnsi="Arial" w:cs="Arial"/>
                <w:i/>
                <w:iCs/>
                <w:sz w:val="16"/>
                <w:szCs w:val="18"/>
                <w:highlight w:val="yellow"/>
              </w:rPr>
              <w:t>up to around 1.5Mbits, assuming float 32 and 10 CSI-RS observation instances as input to predict one future CSI instance</w:t>
            </w:r>
            <w:r>
              <w:rPr>
                <w:rFonts w:hint="default" w:ascii="Arial" w:hAnsi="Arial" w:cs="Arial"/>
                <w:i/>
                <w:iCs/>
                <w:sz w:val="16"/>
                <w:szCs w:val="18"/>
              </w:rPr>
              <w:t>.</w:t>
            </w:r>
          </w:p>
          <w:p>
            <w:pPr>
              <w:spacing w:before="120" w:beforeLines="50" w:after="120" w:line="260" w:lineRule="exact"/>
              <w:rPr>
                <w:rFonts w:hint="default" w:ascii="Arial" w:hAnsi="Arial" w:cs="Arial"/>
                <w:b w:val="0"/>
                <w:bCs/>
                <w:sz w:val="18"/>
                <w:szCs w:val="18"/>
                <w:lang w:val="en-US" w:eastAsia="zh-CN"/>
              </w:rPr>
            </w:pPr>
          </w:p>
          <w:p>
            <w:pPr>
              <w:pStyle w:val="22"/>
              <w:spacing w:line="360" w:lineRule="auto"/>
              <w:ind w:left="0" w:leftChars="0" w:firstLine="0" w:firstLineChars="0"/>
              <w:jc w:val="both"/>
              <w:rPr>
                <w:rFonts w:hint="default" w:ascii="Arial" w:hAnsi="Arial" w:eastAsia="等线" w:cs="Arial"/>
                <w:b/>
                <w:bCs/>
                <w:sz w:val="16"/>
                <w:szCs w:val="16"/>
                <w:lang w:val="en-US" w:eastAsia="zh-CN"/>
              </w:rPr>
            </w:pPr>
            <w:r>
              <w:rPr>
                <w:rFonts w:hint="default" w:ascii="Arial" w:hAnsi="Arial" w:eastAsia="等线" w:cs="Arial"/>
                <w:b/>
                <w:bCs/>
                <w:sz w:val="16"/>
                <w:szCs w:val="16"/>
                <w:lang w:eastAsia="zh-CN"/>
              </w:rPr>
              <w:t>For Beam management</w:t>
            </w:r>
            <w:r>
              <w:rPr>
                <w:rFonts w:hint="eastAsia" w:ascii="Arial" w:hAnsi="Arial" w:eastAsia="等线" w:cs="Arial"/>
                <w:b/>
                <w:bCs/>
                <w:sz w:val="16"/>
                <w:szCs w:val="16"/>
                <w:lang w:val="en-US" w:eastAsia="zh-CN"/>
              </w:rPr>
              <w:t>:</w:t>
            </w:r>
          </w:p>
          <w:tbl>
            <w:tblPr>
              <w:tblStyle w:val="13"/>
              <w:tblW w:w="9877"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0"/>
              <w:gridCol w:w="1676"/>
              <w:gridCol w:w="1991"/>
              <w:gridCol w:w="1890"/>
              <w:gridCol w:w="153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trPr>
              <w:tc>
                <w:tcPr>
                  <w:tcW w:w="1170" w:type="dxa"/>
                  <w:shd w:val="clear" w:color="auto" w:fill="auto"/>
                </w:tcPr>
                <w:p>
                  <w:pPr>
                    <w:spacing w:before="120" w:line="312" w:lineRule="auto"/>
                    <w:rPr>
                      <w:rFonts w:hint="default" w:ascii="Arial" w:hAnsi="Arial" w:eastAsia="宋体" w:cs="Arial"/>
                      <w:b/>
                      <w:sz w:val="16"/>
                      <w:szCs w:val="18"/>
                    </w:rPr>
                  </w:pPr>
                  <w:r>
                    <w:rPr>
                      <w:rFonts w:hint="default" w:ascii="Arial" w:hAnsi="Arial" w:eastAsia="宋体" w:cs="Arial"/>
                      <w:b/>
                      <w:bCs/>
                      <w:sz w:val="16"/>
                      <w:szCs w:val="18"/>
                    </w:rPr>
                    <w:t>LCM purpose</w:t>
                  </w:r>
                </w:p>
              </w:tc>
              <w:tc>
                <w:tcPr>
                  <w:tcW w:w="1676" w:type="dxa"/>
                  <w:shd w:val="clear" w:color="auto" w:fill="auto"/>
                </w:tcPr>
                <w:p>
                  <w:pPr>
                    <w:spacing w:before="120" w:line="312" w:lineRule="auto"/>
                    <w:rPr>
                      <w:rFonts w:hint="default" w:ascii="Arial" w:hAnsi="Arial" w:eastAsia="宋体" w:cs="Arial"/>
                      <w:b/>
                      <w:bCs/>
                      <w:sz w:val="16"/>
                      <w:szCs w:val="18"/>
                    </w:rPr>
                  </w:pPr>
                  <w:r>
                    <w:rPr>
                      <w:rFonts w:hint="default" w:ascii="Arial" w:hAnsi="Arial" w:eastAsia="宋体" w:cs="Arial"/>
                      <w:b/>
                      <w:bCs/>
                      <w:sz w:val="16"/>
                      <w:szCs w:val="18"/>
                    </w:rPr>
                    <w:t>UE-side/NW-side models</w:t>
                  </w:r>
                </w:p>
              </w:tc>
              <w:tc>
                <w:tcPr>
                  <w:tcW w:w="1991" w:type="dxa"/>
                  <w:shd w:val="clear" w:color="auto" w:fill="auto"/>
                </w:tcPr>
                <w:p>
                  <w:pPr>
                    <w:spacing w:before="120" w:line="312" w:lineRule="auto"/>
                    <w:rPr>
                      <w:rFonts w:hint="default" w:ascii="Arial" w:hAnsi="Arial" w:eastAsia="宋体" w:cs="Arial"/>
                      <w:b/>
                      <w:sz w:val="16"/>
                      <w:szCs w:val="18"/>
                    </w:rPr>
                  </w:pPr>
                  <w:r>
                    <w:rPr>
                      <w:rFonts w:hint="default" w:ascii="Arial" w:hAnsi="Arial" w:eastAsia="宋体" w:cs="Arial"/>
                      <w:b/>
                      <w:sz w:val="16"/>
                      <w:szCs w:val="18"/>
                    </w:rPr>
                    <w:t>Data content</w:t>
                  </w:r>
                </w:p>
              </w:tc>
              <w:tc>
                <w:tcPr>
                  <w:tcW w:w="1890" w:type="dxa"/>
                  <w:shd w:val="clear" w:color="auto" w:fill="auto"/>
                </w:tcPr>
                <w:p>
                  <w:pPr>
                    <w:spacing w:before="120" w:line="312" w:lineRule="auto"/>
                    <w:rPr>
                      <w:rFonts w:hint="default" w:ascii="Arial" w:hAnsi="Arial" w:eastAsia="宋体" w:cs="Arial"/>
                      <w:b/>
                      <w:sz w:val="16"/>
                      <w:szCs w:val="18"/>
                    </w:rPr>
                  </w:pPr>
                  <w:r>
                    <w:rPr>
                      <w:rFonts w:hint="default" w:ascii="Arial" w:hAnsi="Arial" w:eastAsia="宋体" w:cs="Arial"/>
                      <w:b/>
                      <w:bCs/>
                      <w:sz w:val="16"/>
                      <w:szCs w:val="18"/>
                    </w:rPr>
                    <w:t>Typical data size (per data sample)</w:t>
                  </w:r>
                </w:p>
              </w:tc>
              <w:tc>
                <w:tcPr>
                  <w:tcW w:w="1530" w:type="dxa"/>
                  <w:shd w:val="clear" w:color="auto" w:fill="auto"/>
                </w:tcPr>
                <w:p>
                  <w:pPr>
                    <w:spacing w:before="120" w:line="312" w:lineRule="auto"/>
                    <w:rPr>
                      <w:rFonts w:hint="default" w:ascii="Arial" w:hAnsi="Arial" w:eastAsia="宋体" w:cs="Arial"/>
                      <w:b/>
                      <w:sz w:val="16"/>
                      <w:szCs w:val="18"/>
                    </w:rPr>
                  </w:pPr>
                  <w:r>
                    <w:rPr>
                      <w:rFonts w:hint="default" w:ascii="Arial" w:hAnsi="Arial" w:eastAsia="宋体" w:cs="Arial"/>
                      <w:b/>
                      <w:sz w:val="16"/>
                      <w:szCs w:val="18"/>
                    </w:rPr>
                    <w:t>Typical latency requirement</w:t>
                  </w:r>
                </w:p>
              </w:tc>
              <w:tc>
                <w:tcPr>
                  <w:tcW w:w="1620" w:type="dxa"/>
                  <w:shd w:val="clear" w:color="auto" w:fill="auto"/>
                </w:tcPr>
                <w:p>
                  <w:pPr>
                    <w:spacing w:before="120" w:line="312" w:lineRule="auto"/>
                    <w:rPr>
                      <w:rFonts w:hint="default" w:ascii="Arial" w:hAnsi="Arial" w:eastAsia="宋体" w:cs="Arial"/>
                      <w:b/>
                      <w:bCs/>
                      <w:sz w:val="16"/>
                      <w:szCs w:val="18"/>
                    </w:rPr>
                  </w:pPr>
                  <w:r>
                    <w:rPr>
                      <w:rFonts w:hint="default" w:ascii="Arial" w:hAnsi="Arial" w:eastAsia="宋体" w:cs="Arial"/>
                      <w:b/>
                      <w:bCs/>
                      <w:sz w:val="16"/>
                      <w:szCs w:val="18"/>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trPr>
              <w:tc>
                <w:tcPr>
                  <w:tcW w:w="1170" w:type="dxa"/>
                  <w:shd w:val="clear" w:color="auto" w:fill="auto"/>
                </w:tcPr>
                <w:p>
                  <w:pPr>
                    <w:spacing w:before="120" w:line="312" w:lineRule="auto"/>
                    <w:rPr>
                      <w:rFonts w:hint="default" w:ascii="Arial" w:hAnsi="Arial" w:eastAsia="宋体" w:cs="Arial"/>
                      <w:sz w:val="16"/>
                      <w:szCs w:val="18"/>
                    </w:rPr>
                  </w:pPr>
                  <w:r>
                    <w:rPr>
                      <w:rFonts w:hint="default" w:ascii="Arial" w:hAnsi="Arial" w:eastAsia="宋体" w:cs="Arial"/>
                      <w:sz w:val="16"/>
                      <w:szCs w:val="18"/>
                    </w:rPr>
                    <w:t>Training</w:t>
                  </w:r>
                </w:p>
              </w:tc>
              <w:tc>
                <w:tcPr>
                  <w:tcW w:w="1676" w:type="dxa"/>
                  <w:shd w:val="clear" w:color="auto" w:fill="auto"/>
                </w:tcPr>
                <w:p>
                  <w:pPr>
                    <w:spacing w:before="120" w:line="312" w:lineRule="auto"/>
                    <w:rPr>
                      <w:rFonts w:hint="default" w:ascii="Arial" w:hAnsi="Arial" w:eastAsia="宋体" w:cs="Arial"/>
                      <w:sz w:val="16"/>
                      <w:szCs w:val="18"/>
                    </w:rPr>
                  </w:pPr>
                  <w:r>
                    <w:rPr>
                      <w:rFonts w:hint="default" w:ascii="Arial" w:hAnsi="Arial" w:eastAsia="宋体" w:cs="Arial"/>
                      <w:sz w:val="16"/>
                      <w:szCs w:val="18"/>
                    </w:rPr>
                    <w:t>UE-side, NW-side</w:t>
                  </w:r>
                </w:p>
              </w:tc>
              <w:tc>
                <w:tcPr>
                  <w:tcW w:w="1991" w:type="dxa"/>
                  <w:shd w:val="clear" w:color="auto" w:fill="auto"/>
                </w:tcPr>
                <w:p>
                  <w:pPr>
                    <w:spacing w:before="120" w:line="312" w:lineRule="auto"/>
                    <w:rPr>
                      <w:rFonts w:hint="default" w:ascii="Arial" w:hAnsi="Arial" w:eastAsia="宋体" w:cs="Arial"/>
                      <w:sz w:val="16"/>
                      <w:szCs w:val="18"/>
                    </w:rPr>
                  </w:pPr>
                  <w:r>
                    <w:rPr>
                      <w:rFonts w:hint="default" w:ascii="Arial" w:hAnsi="Arial" w:eastAsia="宋体" w:cs="Arial"/>
                      <w:sz w:val="16"/>
                      <w:szCs w:val="18"/>
                    </w:rPr>
                    <w:t>L1-RSRPs and/or beam-IDs</w:t>
                  </w:r>
                </w:p>
              </w:tc>
              <w:tc>
                <w:tcPr>
                  <w:tcW w:w="1890" w:type="dxa"/>
                  <w:shd w:val="clear" w:color="auto" w:fill="auto"/>
                </w:tcPr>
                <w:p>
                  <w:pPr>
                    <w:spacing w:before="120" w:line="312" w:lineRule="auto"/>
                    <w:rPr>
                      <w:rFonts w:hint="default" w:ascii="Arial" w:hAnsi="Arial" w:eastAsia="宋体" w:cs="Arial"/>
                      <w:sz w:val="16"/>
                      <w:szCs w:val="18"/>
                    </w:rPr>
                  </w:pPr>
                  <w:r>
                    <w:rPr>
                      <w:rFonts w:hint="default" w:ascii="Arial" w:hAnsi="Arial" w:eastAsia="宋体" w:cs="Arial"/>
                      <w:sz w:val="16"/>
                      <w:szCs w:val="18"/>
                    </w:rPr>
                    <w:t>See Note 1 for L1-RSRPs</w:t>
                  </w:r>
                </w:p>
              </w:tc>
              <w:tc>
                <w:tcPr>
                  <w:tcW w:w="1530" w:type="dxa"/>
                  <w:shd w:val="clear" w:color="auto" w:fill="auto"/>
                </w:tcPr>
                <w:p>
                  <w:pPr>
                    <w:spacing w:before="120" w:line="312" w:lineRule="auto"/>
                    <w:rPr>
                      <w:rFonts w:hint="default" w:ascii="Arial" w:hAnsi="Arial" w:eastAsia="宋体" w:cs="Arial"/>
                      <w:sz w:val="16"/>
                      <w:szCs w:val="18"/>
                    </w:rPr>
                  </w:pPr>
                  <w:r>
                    <w:rPr>
                      <w:rFonts w:hint="default" w:ascii="Arial" w:hAnsi="Arial" w:eastAsia="宋体" w:cs="Arial"/>
                      <w:sz w:val="16"/>
                      <w:szCs w:val="18"/>
                    </w:rPr>
                    <w:t>Relaxed</w:t>
                  </w:r>
                </w:p>
              </w:tc>
              <w:tc>
                <w:tcPr>
                  <w:tcW w:w="1620" w:type="dxa"/>
                  <w:shd w:val="clear" w:color="auto" w:fill="auto"/>
                </w:tcPr>
                <w:p>
                  <w:pPr>
                    <w:spacing w:before="120" w:line="312" w:lineRule="auto"/>
                    <w:rPr>
                      <w:rFonts w:hint="default" w:ascii="Arial" w:hAnsi="Arial" w:eastAsia="宋体" w:cs="Arial"/>
                      <w:sz w:val="16"/>
                      <w:szCs w:val="18"/>
                    </w:rPr>
                  </w:pPr>
                </w:p>
                <w:p>
                  <w:pPr>
                    <w:spacing w:before="120" w:line="312" w:lineRule="auto"/>
                    <w:rPr>
                      <w:rFonts w:hint="default" w:ascii="Arial" w:hAnsi="Arial" w:eastAsia="宋体" w:cs="Arial"/>
                      <w:sz w:val="16"/>
                      <w:szCs w:val="18"/>
                    </w:rPr>
                  </w:pPr>
                </w:p>
              </w:tc>
            </w:tr>
          </w:tbl>
          <w:p>
            <w:pPr>
              <w:keepNext w:val="0"/>
              <w:keepLines w:val="0"/>
              <w:pageBreakBefore w:val="0"/>
              <w:widowControl w:val="0"/>
              <w:kinsoku/>
              <w:wordWrap/>
              <w:overflowPunct/>
              <w:topLinePunct w:val="0"/>
              <w:autoSpaceDE/>
              <w:autoSpaceDN/>
              <w:bidi w:val="0"/>
              <w:adjustRightInd/>
              <w:snapToGrid/>
              <w:spacing w:line="264" w:lineRule="auto"/>
              <w:textAlignment w:val="auto"/>
              <w:rPr>
                <w:rFonts w:hint="default" w:ascii="Arial" w:hAnsi="Arial" w:cs="Arial"/>
                <w:i/>
                <w:iCs/>
                <w:sz w:val="16"/>
                <w:szCs w:val="18"/>
              </w:rPr>
            </w:pPr>
            <w:r>
              <w:rPr>
                <w:rFonts w:hint="default" w:ascii="Arial" w:hAnsi="Arial" w:cs="Arial"/>
                <w:i/>
                <w:iCs/>
                <w:sz w:val="16"/>
                <w:szCs w:val="18"/>
              </w:rPr>
              <w:t xml:space="preserve">Note 1: There is no agreement on the data size of L1-RSRPs for Set A or Set B, but the following typical data size is provided as guidance for RAN2 discussion. Based on existing L1-RSRP reporting methodology, i.e., 7 bits for the strongest beam and 4 bits for the remaining beams, for Set B = 16 as an example, the typical data size would be 67 (hence </w:t>
            </w:r>
            <w:r>
              <w:rPr>
                <w:rFonts w:hint="default" w:ascii="Arial" w:hAnsi="Arial" w:cs="Arial"/>
                <w:i/>
                <w:iCs/>
                <w:sz w:val="16"/>
                <w:szCs w:val="18"/>
                <w:highlight w:val="yellow"/>
              </w:rPr>
              <w:t>up to ~100 bits</w:t>
            </w:r>
            <w:r>
              <w:rPr>
                <w:rFonts w:hint="default" w:ascii="Arial" w:hAnsi="Arial" w:cs="Arial"/>
                <w:i/>
                <w:iCs/>
                <w:sz w:val="16"/>
                <w:szCs w:val="18"/>
              </w:rPr>
              <w:t xml:space="preserve">), and for Set A = 128 as an example, the typical data size would be 515 (hence </w:t>
            </w:r>
            <w:r>
              <w:rPr>
                <w:rFonts w:hint="default" w:ascii="Arial" w:hAnsi="Arial" w:cs="Arial"/>
                <w:i/>
                <w:iCs/>
                <w:sz w:val="16"/>
                <w:szCs w:val="18"/>
                <w:highlight w:val="yellow"/>
              </w:rPr>
              <w:t>up to ~500 bits</w:t>
            </w:r>
            <w:r>
              <w:rPr>
                <w:rFonts w:hint="default" w:ascii="Arial" w:hAnsi="Arial" w:cs="Arial"/>
                <w:i/>
                <w:iCs/>
                <w:sz w:val="16"/>
                <w:szCs w:val="18"/>
              </w:rPr>
              <w:t>) if all beams in Set A were to be collected. For BM Case 2, the data size L1-RSRPs for Set A and Set B represents the data size per predicted future time instance and per history measurement time instance, respectively. Payload size may not be fixed.</w:t>
            </w:r>
          </w:p>
          <w:p>
            <w:pPr>
              <w:keepNext w:val="0"/>
              <w:keepLines w:val="0"/>
              <w:pageBreakBefore w:val="0"/>
              <w:widowControl w:val="0"/>
              <w:kinsoku/>
              <w:wordWrap/>
              <w:overflowPunct/>
              <w:topLinePunct w:val="0"/>
              <w:autoSpaceDE/>
              <w:autoSpaceDN/>
              <w:bidi w:val="0"/>
              <w:adjustRightInd/>
              <w:snapToGrid/>
              <w:spacing w:line="264" w:lineRule="auto"/>
              <w:textAlignment w:val="auto"/>
              <w:rPr>
                <w:rFonts w:hint="default" w:ascii="Arial" w:hAnsi="Arial" w:cs="Arial"/>
                <w:i/>
                <w:iCs/>
                <w:sz w:val="16"/>
                <w:szCs w:val="18"/>
                <w:lang w:val="en-US" w:eastAsia="zh-CN"/>
              </w:rPr>
            </w:pPr>
            <w:r>
              <w:rPr>
                <w:rFonts w:hint="default" w:ascii="Arial" w:hAnsi="Arial" w:cs="Arial"/>
                <w:i/>
                <w:iCs/>
                <w:sz w:val="16"/>
                <w:szCs w:val="18"/>
                <w:lang w:val="en-US" w:eastAsia="zh-CN"/>
              </w:rPr>
              <w:t>Note 5: For BM Case 2, the typical value of the number of history measurement time instance used in evaluations is up to 8 and typical value of the number of predicted future time instance is 1~4.</w:t>
            </w:r>
          </w:p>
          <w:p>
            <w:pPr>
              <w:spacing w:before="120" w:beforeLines="50" w:after="120" w:line="260" w:lineRule="exact"/>
              <w:rPr>
                <w:rFonts w:hint="default" w:ascii="Arial" w:hAnsi="Arial" w:cs="Arial"/>
                <w:b w:val="0"/>
                <w:bCs/>
                <w:sz w:val="18"/>
                <w:szCs w:val="18"/>
                <w:lang w:val="en-US" w:eastAsia="zh-CN"/>
              </w:rPr>
            </w:pPr>
          </w:p>
          <w:p>
            <w:pPr>
              <w:pStyle w:val="22"/>
              <w:spacing w:line="360" w:lineRule="auto"/>
              <w:ind w:left="0" w:leftChars="0" w:firstLine="0" w:firstLineChars="0"/>
              <w:jc w:val="both"/>
              <w:rPr>
                <w:rFonts w:hint="default" w:ascii="Arial" w:hAnsi="Arial" w:eastAsia="等线" w:cs="Arial"/>
                <w:b/>
                <w:bCs/>
                <w:sz w:val="16"/>
                <w:szCs w:val="16"/>
                <w:lang w:val="en-US" w:eastAsia="zh-CN"/>
              </w:rPr>
            </w:pPr>
            <w:r>
              <w:rPr>
                <w:rFonts w:hint="default" w:ascii="Arial" w:hAnsi="Arial" w:eastAsia="等线" w:cs="Arial"/>
                <w:b/>
                <w:bCs/>
                <w:sz w:val="16"/>
                <w:szCs w:val="16"/>
                <w:lang w:eastAsia="zh-CN"/>
              </w:rPr>
              <w:t>For positioning</w:t>
            </w:r>
            <w:r>
              <w:rPr>
                <w:rFonts w:hint="eastAsia" w:ascii="Arial" w:hAnsi="Arial" w:eastAsia="等线" w:cs="Arial"/>
                <w:b/>
                <w:bCs/>
                <w:sz w:val="16"/>
                <w:szCs w:val="16"/>
                <w:lang w:val="en-US" w:eastAsia="zh-CN"/>
              </w:rPr>
              <w:t>:</w:t>
            </w:r>
          </w:p>
          <w:tbl>
            <w:tblPr>
              <w:tblStyle w:val="13"/>
              <w:tblW w:w="9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
              <w:gridCol w:w="1337"/>
              <w:gridCol w:w="2245"/>
              <w:gridCol w:w="2681"/>
              <w:gridCol w:w="1577"/>
              <w:gridCol w:w="1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 w:type="dxa"/>
                  <w:shd w:val="clear" w:color="auto" w:fill="auto"/>
                </w:tcPr>
                <w:p>
                  <w:pPr>
                    <w:snapToGrid w:val="0"/>
                    <w:spacing w:before="100" w:beforeAutospacing="1" w:after="120"/>
                    <w:rPr>
                      <w:rFonts w:hint="default" w:ascii="Arial" w:hAnsi="Arial" w:cs="Arial"/>
                      <w:b/>
                      <w:bCs/>
                      <w:sz w:val="16"/>
                      <w:szCs w:val="18"/>
                    </w:rPr>
                  </w:pPr>
                  <w:r>
                    <w:rPr>
                      <w:rFonts w:hint="default" w:ascii="Arial" w:hAnsi="Arial" w:cs="Arial"/>
                      <w:b/>
                      <w:bCs/>
                      <w:sz w:val="16"/>
                      <w:szCs w:val="18"/>
                    </w:rPr>
                    <w:t>LCM purpose</w:t>
                  </w:r>
                </w:p>
              </w:tc>
              <w:tc>
                <w:tcPr>
                  <w:tcW w:w="1337" w:type="dxa"/>
                  <w:shd w:val="clear" w:color="auto" w:fill="auto"/>
                </w:tcPr>
                <w:p>
                  <w:pPr>
                    <w:snapToGrid w:val="0"/>
                    <w:spacing w:before="100" w:beforeAutospacing="1" w:after="120"/>
                    <w:rPr>
                      <w:rFonts w:hint="default" w:ascii="Arial" w:hAnsi="Arial" w:cs="Arial"/>
                      <w:b/>
                      <w:bCs/>
                      <w:sz w:val="16"/>
                      <w:szCs w:val="18"/>
                    </w:rPr>
                  </w:pPr>
                  <w:r>
                    <w:rPr>
                      <w:rFonts w:hint="default" w:ascii="Arial" w:hAnsi="Arial" w:cs="Arial"/>
                      <w:b/>
                      <w:bCs/>
                      <w:sz w:val="16"/>
                      <w:szCs w:val="18"/>
                    </w:rPr>
                    <w:t>Case</w:t>
                  </w:r>
                </w:p>
              </w:tc>
              <w:tc>
                <w:tcPr>
                  <w:tcW w:w="2245" w:type="dxa"/>
                  <w:shd w:val="clear" w:color="auto" w:fill="auto"/>
                </w:tcPr>
                <w:p>
                  <w:pPr>
                    <w:snapToGrid w:val="0"/>
                    <w:spacing w:before="100" w:beforeAutospacing="1" w:after="120"/>
                    <w:rPr>
                      <w:rFonts w:hint="default" w:ascii="Arial" w:hAnsi="Arial" w:cs="Arial"/>
                      <w:b/>
                      <w:bCs/>
                      <w:sz w:val="16"/>
                      <w:szCs w:val="18"/>
                    </w:rPr>
                  </w:pPr>
                  <w:r>
                    <w:rPr>
                      <w:rFonts w:hint="default" w:ascii="Arial" w:hAnsi="Arial" w:cs="Arial"/>
                      <w:b/>
                      <w:bCs/>
                      <w:sz w:val="16"/>
                      <w:szCs w:val="18"/>
                    </w:rPr>
                    <w:t>Data content</w:t>
                  </w:r>
                </w:p>
              </w:tc>
              <w:tc>
                <w:tcPr>
                  <w:tcW w:w="2681" w:type="dxa"/>
                  <w:shd w:val="clear" w:color="auto" w:fill="auto"/>
                </w:tcPr>
                <w:p>
                  <w:pPr>
                    <w:snapToGrid w:val="0"/>
                    <w:spacing w:before="100" w:beforeAutospacing="1" w:after="120"/>
                    <w:rPr>
                      <w:rFonts w:hint="default" w:ascii="Arial" w:hAnsi="Arial" w:cs="Arial"/>
                      <w:b/>
                      <w:bCs/>
                      <w:sz w:val="16"/>
                      <w:szCs w:val="18"/>
                    </w:rPr>
                  </w:pPr>
                  <w:r>
                    <w:rPr>
                      <w:rFonts w:hint="default" w:ascii="Arial" w:hAnsi="Arial" w:cs="Arial"/>
                      <w:b/>
                      <w:bCs/>
                      <w:sz w:val="16"/>
                      <w:szCs w:val="18"/>
                    </w:rPr>
                    <w:t>Typical data size (per data sample)</w:t>
                  </w:r>
                </w:p>
              </w:tc>
              <w:tc>
                <w:tcPr>
                  <w:tcW w:w="1577" w:type="dxa"/>
                  <w:shd w:val="clear" w:color="auto" w:fill="auto"/>
                </w:tcPr>
                <w:p>
                  <w:pPr>
                    <w:snapToGrid w:val="0"/>
                    <w:spacing w:before="100" w:beforeAutospacing="1" w:after="120"/>
                    <w:rPr>
                      <w:rFonts w:hint="default" w:ascii="Arial" w:hAnsi="Arial" w:cs="Arial"/>
                      <w:b/>
                      <w:bCs/>
                      <w:sz w:val="16"/>
                      <w:szCs w:val="18"/>
                    </w:rPr>
                  </w:pPr>
                  <w:r>
                    <w:rPr>
                      <w:rFonts w:hint="default" w:ascii="Arial" w:hAnsi="Arial" w:cs="Arial"/>
                      <w:b/>
                      <w:bCs/>
                      <w:sz w:val="16"/>
                      <w:szCs w:val="18"/>
                    </w:rPr>
                    <w:t>Typical latency requirement</w:t>
                  </w:r>
                </w:p>
              </w:tc>
              <w:tc>
                <w:tcPr>
                  <w:tcW w:w="1025" w:type="dxa"/>
                  <w:shd w:val="clear" w:color="auto" w:fill="auto"/>
                </w:tcPr>
                <w:p>
                  <w:pPr>
                    <w:snapToGrid w:val="0"/>
                    <w:spacing w:before="100" w:beforeAutospacing="1" w:after="120"/>
                    <w:rPr>
                      <w:rFonts w:hint="default" w:ascii="Arial" w:hAnsi="Arial" w:cs="Arial"/>
                      <w:b/>
                      <w:bCs/>
                      <w:sz w:val="16"/>
                      <w:szCs w:val="18"/>
                    </w:rPr>
                  </w:pPr>
                  <w:r>
                    <w:rPr>
                      <w:rFonts w:hint="default" w:ascii="Arial" w:hAnsi="Arial" w:cs="Arial"/>
                      <w:b/>
                      <w:bCs/>
                      <w:sz w:val="16"/>
                      <w:szCs w:val="18"/>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trPr>
              <w:tc>
                <w:tcPr>
                  <w:tcW w:w="940" w:type="dxa"/>
                  <w:vMerge w:val="restart"/>
                  <w:shd w:val="clear" w:color="auto" w:fill="auto"/>
                </w:tcPr>
                <w:p>
                  <w:pPr>
                    <w:snapToGrid w:val="0"/>
                    <w:spacing w:before="100" w:beforeAutospacing="1" w:after="120"/>
                    <w:rPr>
                      <w:rFonts w:hint="default" w:ascii="Arial" w:hAnsi="Arial" w:cs="Arial"/>
                      <w:bCs/>
                      <w:sz w:val="16"/>
                      <w:szCs w:val="18"/>
                    </w:rPr>
                  </w:pPr>
                  <w:r>
                    <w:rPr>
                      <w:rFonts w:hint="default" w:ascii="Arial" w:hAnsi="Arial" w:eastAsia="宋体" w:cs="Arial"/>
                      <w:bCs/>
                      <w:sz w:val="16"/>
                      <w:szCs w:val="18"/>
                    </w:rPr>
                    <w:t>Training</w:t>
                  </w:r>
                </w:p>
              </w:tc>
              <w:tc>
                <w:tcPr>
                  <w:tcW w:w="1337" w:type="dxa"/>
                  <w:shd w:val="clear" w:color="auto" w:fill="auto"/>
                </w:tcPr>
                <w:p>
                  <w:pPr>
                    <w:snapToGrid w:val="0"/>
                    <w:spacing w:before="100" w:beforeAutospacing="1" w:after="120"/>
                    <w:rPr>
                      <w:rFonts w:hint="default" w:ascii="Arial" w:hAnsi="Arial" w:cs="Arial"/>
                      <w:sz w:val="16"/>
                      <w:szCs w:val="18"/>
                    </w:rPr>
                  </w:pPr>
                  <w:r>
                    <w:rPr>
                      <w:rFonts w:hint="default" w:ascii="Arial" w:hAnsi="Arial" w:cs="Arial"/>
                      <w:sz w:val="16"/>
                      <w:szCs w:val="18"/>
                    </w:rPr>
                    <w:t>All Cases</w:t>
                  </w:r>
                </w:p>
                <w:p>
                  <w:pPr>
                    <w:snapToGrid w:val="0"/>
                    <w:spacing w:before="100" w:beforeAutospacing="1" w:after="120"/>
                    <w:rPr>
                      <w:rFonts w:hint="default" w:ascii="Arial" w:hAnsi="Arial" w:cs="Arial"/>
                      <w:sz w:val="16"/>
                      <w:szCs w:val="18"/>
                    </w:rPr>
                  </w:pPr>
                </w:p>
                <w:p>
                  <w:pPr>
                    <w:snapToGrid w:val="0"/>
                    <w:spacing w:before="100" w:beforeAutospacing="1" w:after="120"/>
                    <w:rPr>
                      <w:rFonts w:hint="default" w:ascii="Arial" w:hAnsi="Arial" w:cs="Arial"/>
                      <w:sz w:val="16"/>
                      <w:szCs w:val="18"/>
                    </w:rPr>
                  </w:pPr>
                </w:p>
              </w:tc>
              <w:tc>
                <w:tcPr>
                  <w:tcW w:w="2245" w:type="dxa"/>
                  <w:shd w:val="clear" w:color="auto" w:fill="auto"/>
                </w:tcPr>
                <w:p>
                  <w:pPr>
                    <w:rPr>
                      <w:rFonts w:hint="default" w:ascii="Arial" w:hAnsi="Arial" w:cs="Arial"/>
                      <w:sz w:val="16"/>
                      <w:szCs w:val="18"/>
                    </w:rPr>
                  </w:pPr>
                  <w:r>
                    <w:rPr>
                      <w:rFonts w:hint="default" w:ascii="Arial" w:hAnsi="Arial" w:cs="Arial"/>
                      <w:sz w:val="16"/>
                      <w:szCs w:val="18"/>
                    </w:rPr>
                    <w:t>Measurements (corresponding to model input): timing, power, and/or phase info</w:t>
                  </w:r>
                </w:p>
                <w:p>
                  <w:pPr>
                    <w:snapToGrid w:val="0"/>
                    <w:spacing w:before="100" w:beforeAutospacing="1" w:after="120"/>
                    <w:rPr>
                      <w:rFonts w:hint="default" w:ascii="Arial" w:hAnsi="Arial" w:cs="Arial"/>
                      <w:sz w:val="16"/>
                      <w:szCs w:val="18"/>
                    </w:rPr>
                  </w:pPr>
                  <w:r>
                    <w:rPr>
                      <w:rFonts w:hint="default" w:ascii="Arial" w:hAnsi="Arial" w:cs="Arial"/>
                      <w:sz w:val="16"/>
                      <w:szCs w:val="18"/>
                    </w:rPr>
                    <w:t>See Note 2</w:t>
                  </w:r>
                </w:p>
              </w:tc>
              <w:tc>
                <w:tcPr>
                  <w:tcW w:w="2681" w:type="dxa"/>
                  <w:shd w:val="clear" w:color="auto" w:fill="auto"/>
                </w:tcPr>
                <w:p>
                  <w:pPr>
                    <w:rPr>
                      <w:rFonts w:hint="default" w:ascii="Arial" w:hAnsi="Arial" w:cs="Arial"/>
                      <w:sz w:val="16"/>
                      <w:szCs w:val="18"/>
                    </w:rPr>
                  </w:pPr>
                  <w:r>
                    <w:rPr>
                      <w:rFonts w:hint="default" w:ascii="Arial" w:hAnsi="Arial" w:cs="Arial"/>
                      <w:sz w:val="16"/>
                      <w:szCs w:val="18"/>
                    </w:rPr>
                    <w:t>Size depends on number of PRS/SRS resources, measurement type (timing, power, and/or phase info) and report format:</w:t>
                  </w:r>
                </w:p>
                <w:p>
                  <w:pPr>
                    <w:rPr>
                      <w:rFonts w:hint="default" w:ascii="Arial" w:hAnsi="Arial" w:cs="Arial"/>
                      <w:sz w:val="16"/>
                      <w:szCs w:val="18"/>
                      <w:highlight w:val="yellow"/>
                    </w:rPr>
                  </w:pPr>
                  <w:r>
                    <w:rPr>
                      <w:rFonts w:hint="default" w:ascii="Arial" w:hAnsi="Arial" w:cs="Arial"/>
                      <w:sz w:val="16"/>
                      <w:szCs w:val="18"/>
                      <w:highlight w:val="yellow"/>
                    </w:rPr>
                    <w:t>~100 bits to 1000s bits per PRS/SRS resource</w:t>
                  </w:r>
                </w:p>
                <w:p>
                  <w:pPr>
                    <w:rPr>
                      <w:rFonts w:hint="default" w:ascii="Arial" w:hAnsi="Arial" w:cs="Arial"/>
                      <w:sz w:val="16"/>
                      <w:szCs w:val="18"/>
                    </w:rPr>
                  </w:pPr>
                  <w:r>
                    <w:rPr>
                      <w:rFonts w:hint="default" w:ascii="Arial" w:hAnsi="Arial" w:cs="Arial"/>
                      <w:sz w:val="16"/>
                      <w:szCs w:val="18"/>
                    </w:rPr>
                    <w:t>See Note 3</w:t>
                  </w:r>
                </w:p>
              </w:tc>
              <w:tc>
                <w:tcPr>
                  <w:tcW w:w="1577" w:type="dxa"/>
                  <w:shd w:val="clear" w:color="auto" w:fill="auto"/>
                </w:tcPr>
                <w:p>
                  <w:pPr>
                    <w:snapToGrid w:val="0"/>
                    <w:spacing w:before="100" w:beforeAutospacing="1" w:after="120"/>
                    <w:rPr>
                      <w:rFonts w:hint="default" w:ascii="Arial" w:hAnsi="Arial" w:cs="Arial"/>
                      <w:sz w:val="16"/>
                      <w:szCs w:val="18"/>
                    </w:rPr>
                  </w:pPr>
                  <w:r>
                    <w:rPr>
                      <w:rFonts w:hint="default" w:ascii="Arial" w:hAnsi="Arial" w:eastAsia="宋体" w:cs="Arial"/>
                      <w:sz w:val="16"/>
                      <w:szCs w:val="18"/>
                    </w:rPr>
                    <w:t>Relaxed</w:t>
                  </w:r>
                </w:p>
              </w:tc>
              <w:tc>
                <w:tcPr>
                  <w:tcW w:w="1025" w:type="dxa"/>
                  <w:shd w:val="clear" w:color="auto" w:fill="auto"/>
                </w:tcPr>
                <w:p>
                  <w:pPr>
                    <w:snapToGrid w:val="0"/>
                    <w:spacing w:before="100" w:beforeAutospacing="1" w:after="120"/>
                    <w:rPr>
                      <w:rFonts w:hint="default" w:ascii="Arial" w:hAnsi="Arial" w:cs="Arial"/>
                      <w:sz w:val="16"/>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940" w:type="dxa"/>
                  <w:vMerge w:val="continue"/>
                  <w:shd w:val="clear" w:color="auto" w:fill="auto"/>
                </w:tcPr>
                <w:p>
                  <w:pPr>
                    <w:snapToGrid w:val="0"/>
                    <w:spacing w:before="100" w:beforeAutospacing="1" w:after="120"/>
                    <w:rPr>
                      <w:rFonts w:hint="default" w:ascii="Arial" w:hAnsi="Arial" w:eastAsia="宋体" w:cs="Arial"/>
                      <w:bCs/>
                      <w:sz w:val="16"/>
                      <w:szCs w:val="18"/>
                    </w:rPr>
                  </w:pPr>
                </w:p>
              </w:tc>
              <w:tc>
                <w:tcPr>
                  <w:tcW w:w="1337" w:type="dxa"/>
                  <w:shd w:val="clear" w:color="auto" w:fill="auto"/>
                </w:tcPr>
                <w:p>
                  <w:pPr>
                    <w:snapToGrid w:val="0"/>
                    <w:spacing w:before="100" w:beforeAutospacing="1" w:after="120"/>
                    <w:rPr>
                      <w:rFonts w:hint="default" w:ascii="Arial" w:hAnsi="Arial" w:cs="Arial"/>
                      <w:sz w:val="16"/>
                      <w:szCs w:val="18"/>
                    </w:rPr>
                  </w:pPr>
                  <w:r>
                    <w:rPr>
                      <w:rFonts w:hint="default" w:ascii="Arial" w:hAnsi="Arial" w:cs="Arial"/>
                      <w:sz w:val="16"/>
                      <w:szCs w:val="18"/>
                    </w:rPr>
                    <w:t>Direct AI/ML positioning</w:t>
                  </w:r>
                </w:p>
              </w:tc>
              <w:tc>
                <w:tcPr>
                  <w:tcW w:w="2245" w:type="dxa"/>
                  <w:shd w:val="clear" w:color="auto" w:fill="auto"/>
                </w:tcPr>
                <w:p>
                  <w:pPr>
                    <w:rPr>
                      <w:rFonts w:hint="default" w:ascii="Arial" w:hAnsi="Arial" w:cs="Arial"/>
                      <w:sz w:val="16"/>
                      <w:szCs w:val="18"/>
                    </w:rPr>
                  </w:pPr>
                  <w:r>
                    <w:rPr>
                      <w:rFonts w:hint="default" w:ascii="Arial" w:hAnsi="Arial" w:cs="Arial"/>
                      <w:sz w:val="16"/>
                      <w:szCs w:val="18"/>
                    </w:rPr>
                    <w:t>Label: Location coordinates as model output</w:t>
                  </w:r>
                </w:p>
              </w:tc>
              <w:tc>
                <w:tcPr>
                  <w:tcW w:w="2681" w:type="dxa"/>
                  <w:shd w:val="clear" w:color="auto" w:fill="auto"/>
                </w:tcPr>
                <w:p>
                  <w:pPr>
                    <w:rPr>
                      <w:rFonts w:hint="default" w:ascii="Arial" w:hAnsi="Arial" w:cs="Arial"/>
                      <w:sz w:val="16"/>
                      <w:szCs w:val="18"/>
                    </w:rPr>
                  </w:pPr>
                  <w:r>
                    <w:rPr>
                      <w:rFonts w:hint="default" w:ascii="Arial" w:hAnsi="Arial" w:cs="Arial"/>
                      <w:sz w:val="16"/>
                      <w:szCs w:val="18"/>
                      <w:highlight w:val="yellow"/>
                    </w:rPr>
                    <w:t>56 to 144 bits</w:t>
                  </w:r>
                  <w:r>
                    <w:rPr>
                      <w:rFonts w:hint="default" w:ascii="Arial" w:hAnsi="Arial" w:cs="Arial"/>
                      <w:sz w:val="16"/>
                      <w:szCs w:val="18"/>
                    </w:rPr>
                    <w:t xml:space="preserve"> </w:t>
                  </w:r>
                </w:p>
                <w:p>
                  <w:pPr>
                    <w:rPr>
                      <w:rFonts w:hint="default" w:ascii="Arial" w:hAnsi="Arial" w:cs="Arial"/>
                      <w:sz w:val="16"/>
                      <w:szCs w:val="18"/>
                    </w:rPr>
                  </w:pPr>
                  <w:r>
                    <w:rPr>
                      <w:rFonts w:hint="default" w:ascii="Arial" w:hAnsi="Arial" w:cs="Arial"/>
                      <w:sz w:val="16"/>
                      <w:szCs w:val="18"/>
                    </w:rPr>
                    <w:t>See Note 3</w:t>
                  </w:r>
                </w:p>
              </w:tc>
              <w:tc>
                <w:tcPr>
                  <w:tcW w:w="1577" w:type="dxa"/>
                  <w:shd w:val="clear" w:color="auto" w:fill="auto"/>
                </w:tcPr>
                <w:p>
                  <w:pPr>
                    <w:snapToGrid w:val="0"/>
                    <w:spacing w:before="100" w:beforeAutospacing="1" w:after="120"/>
                    <w:rPr>
                      <w:rFonts w:hint="default" w:ascii="Arial" w:hAnsi="Arial" w:eastAsia="宋体" w:cs="Arial"/>
                      <w:sz w:val="16"/>
                      <w:szCs w:val="18"/>
                    </w:rPr>
                  </w:pPr>
                  <w:r>
                    <w:rPr>
                      <w:rFonts w:hint="default" w:ascii="Arial" w:hAnsi="Arial" w:eastAsia="宋体" w:cs="Arial"/>
                      <w:sz w:val="16"/>
                      <w:szCs w:val="18"/>
                    </w:rPr>
                    <w:t>Relaxed</w:t>
                  </w:r>
                </w:p>
              </w:tc>
              <w:tc>
                <w:tcPr>
                  <w:tcW w:w="1025" w:type="dxa"/>
                  <w:shd w:val="clear" w:color="auto" w:fill="auto"/>
                </w:tcPr>
                <w:p>
                  <w:pPr>
                    <w:snapToGrid w:val="0"/>
                    <w:spacing w:before="100" w:beforeAutospacing="1" w:after="120"/>
                    <w:rPr>
                      <w:rFonts w:hint="default" w:ascii="Arial" w:hAnsi="Arial" w:cs="Arial"/>
                      <w:sz w:val="16"/>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7" w:hRule="atLeast"/>
              </w:trPr>
              <w:tc>
                <w:tcPr>
                  <w:tcW w:w="940" w:type="dxa"/>
                  <w:vMerge w:val="continue"/>
                  <w:shd w:val="clear" w:color="auto" w:fill="auto"/>
                </w:tcPr>
                <w:p>
                  <w:pPr>
                    <w:snapToGrid w:val="0"/>
                    <w:spacing w:before="100" w:beforeAutospacing="1" w:after="120"/>
                    <w:rPr>
                      <w:rFonts w:hint="default" w:ascii="Arial" w:hAnsi="Arial" w:eastAsia="宋体" w:cs="Arial"/>
                      <w:bCs/>
                      <w:sz w:val="16"/>
                      <w:szCs w:val="18"/>
                    </w:rPr>
                  </w:pPr>
                </w:p>
              </w:tc>
              <w:tc>
                <w:tcPr>
                  <w:tcW w:w="1337" w:type="dxa"/>
                  <w:shd w:val="clear" w:color="auto" w:fill="auto"/>
                </w:tcPr>
                <w:p>
                  <w:pPr>
                    <w:snapToGrid w:val="0"/>
                    <w:spacing w:before="100" w:beforeAutospacing="1" w:after="120"/>
                    <w:rPr>
                      <w:rFonts w:hint="default" w:ascii="Arial" w:hAnsi="Arial" w:cs="Arial"/>
                      <w:sz w:val="16"/>
                      <w:szCs w:val="18"/>
                    </w:rPr>
                  </w:pPr>
                </w:p>
                <w:p>
                  <w:pPr>
                    <w:snapToGrid w:val="0"/>
                    <w:spacing w:before="100" w:beforeAutospacing="1" w:after="120"/>
                    <w:rPr>
                      <w:rFonts w:hint="default" w:ascii="Arial" w:hAnsi="Arial" w:cs="Arial"/>
                      <w:sz w:val="16"/>
                      <w:szCs w:val="18"/>
                    </w:rPr>
                  </w:pPr>
                  <w:r>
                    <w:rPr>
                      <w:rFonts w:hint="default" w:ascii="Arial" w:hAnsi="Arial" w:cs="Arial"/>
                      <w:sz w:val="16"/>
                      <w:szCs w:val="18"/>
                    </w:rPr>
                    <w:t>AI/ML assisted positioning</w:t>
                  </w:r>
                </w:p>
              </w:tc>
              <w:tc>
                <w:tcPr>
                  <w:tcW w:w="2245" w:type="dxa"/>
                  <w:shd w:val="clear" w:color="auto" w:fill="auto"/>
                </w:tcPr>
                <w:p>
                  <w:pPr>
                    <w:snapToGrid w:val="0"/>
                    <w:spacing w:before="100" w:beforeAutospacing="1" w:after="120"/>
                    <w:rPr>
                      <w:rFonts w:hint="default" w:ascii="Arial" w:hAnsi="Arial" w:cs="Arial"/>
                      <w:sz w:val="16"/>
                      <w:szCs w:val="18"/>
                    </w:rPr>
                  </w:pPr>
                  <w:r>
                    <w:rPr>
                      <w:rFonts w:hint="default" w:ascii="Arial" w:hAnsi="Arial" w:cs="Arial"/>
                      <w:sz w:val="16"/>
                      <w:szCs w:val="18"/>
                    </w:rPr>
                    <w:t>Label: Intermediate positioning measurement (timing info, LOS/NLOS indicator) as model output</w:t>
                  </w:r>
                </w:p>
                <w:p>
                  <w:pPr>
                    <w:snapToGrid w:val="0"/>
                    <w:spacing w:before="100" w:beforeAutospacing="1" w:after="120"/>
                    <w:rPr>
                      <w:rFonts w:hint="default" w:ascii="Arial" w:hAnsi="Arial" w:cs="Arial"/>
                      <w:sz w:val="16"/>
                      <w:szCs w:val="18"/>
                    </w:rPr>
                  </w:pPr>
                  <w:r>
                    <w:rPr>
                      <w:rFonts w:hint="default" w:ascii="Arial" w:hAnsi="Arial" w:cs="Arial"/>
                      <w:sz w:val="16"/>
                      <w:szCs w:val="18"/>
                    </w:rPr>
                    <w:t>See Note 2</w:t>
                  </w:r>
                </w:p>
              </w:tc>
              <w:tc>
                <w:tcPr>
                  <w:tcW w:w="2681" w:type="dxa"/>
                  <w:shd w:val="clear" w:color="auto" w:fill="auto"/>
                </w:tcPr>
                <w:p>
                  <w:pPr>
                    <w:rPr>
                      <w:rFonts w:hint="default" w:ascii="Arial" w:hAnsi="Arial" w:cs="Arial"/>
                      <w:sz w:val="16"/>
                      <w:szCs w:val="18"/>
                      <w:highlight w:val="yellow"/>
                    </w:rPr>
                  </w:pPr>
                  <w:r>
                    <w:rPr>
                      <w:rFonts w:hint="default" w:ascii="Arial" w:hAnsi="Arial" w:cs="Arial"/>
                      <w:sz w:val="16"/>
                      <w:szCs w:val="18"/>
                      <w:highlight w:val="yellow"/>
                    </w:rPr>
                    <w:t>10s bits to 100s bits per PRS/SRS resource</w:t>
                  </w:r>
                </w:p>
                <w:p>
                  <w:pPr>
                    <w:rPr>
                      <w:rFonts w:hint="default" w:ascii="Arial" w:hAnsi="Arial" w:cs="Arial"/>
                      <w:sz w:val="16"/>
                      <w:szCs w:val="18"/>
                    </w:rPr>
                  </w:pPr>
                  <w:r>
                    <w:rPr>
                      <w:rFonts w:hint="default" w:ascii="Arial" w:hAnsi="Arial" w:cs="Arial"/>
                      <w:sz w:val="16"/>
                      <w:szCs w:val="18"/>
                    </w:rPr>
                    <w:t>See Note 3</w:t>
                  </w:r>
                </w:p>
              </w:tc>
              <w:tc>
                <w:tcPr>
                  <w:tcW w:w="1577" w:type="dxa"/>
                  <w:shd w:val="clear" w:color="auto" w:fill="auto"/>
                </w:tcPr>
                <w:p>
                  <w:pPr>
                    <w:snapToGrid w:val="0"/>
                    <w:spacing w:before="100" w:beforeAutospacing="1" w:after="120"/>
                    <w:rPr>
                      <w:rFonts w:hint="default" w:ascii="Arial" w:hAnsi="Arial" w:cs="Arial"/>
                      <w:sz w:val="16"/>
                      <w:szCs w:val="18"/>
                    </w:rPr>
                  </w:pPr>
                  <w:r>
                    <w:rPr>
                      <w:rFonts w:hint="default" w:ascii="Arial" w:hAnsi="Arial" w:eastAsia="宋体" w:cs="Arial"/>
                      <w:sz w:val="16"/>
                      <w:szCs w:val="18"/>
                    </w:rPr>
                    <w:t>Relaxed</w:t>
                  </w:r>
                </w:p>
              </w:tc>
              <w:tc>
                <w:tcPr>
                  <w:tcW w:w="1025" w:type="dxa"/>
                  <w:shd w:val="clear" w:color="auto" w:fill="auto"/>
                </w:tcPr>
                <w:p>
                  <w:pPr>
                    <w:snapToGrid w:val="0"/>
                    <w:spacing w:before="100" w:beforeAutospacing="1" w:after="120"/>
                    <w:rPr>
                      <w:rFonts w:hint="default" w:ascii="Arial" w:hAnsi="Arial" w:cs="Arial"/>
                      <w:sz w:val="16"/>
                      <w:szCs w:val="18"/>
                    </w:rPr>
                  </w:pPr>
                </w:p>
              </w:tc>
            </w:tr>
          </w:tbl>
          <w:p>
            <w:pPr>
              <w:keepNext w:val="0"/>
              <w:keepLines w:val="0"/>
              <w:pageBreakBefore w:val="0"/>
              <w:widowControl w:val="0"/>
              <w:kinsoku/>
              <w:wordWrap/>
              <w:overflowPunct/>
              <w:topLinePunct w:val="0"/>
              <w:autoSpaceDE/>
              <w:autoSpaceDN/>
              <w:bidi w:val="0"/>
              <w:adjustRightInd/>
              <w:snapToGrid/>
              <w:spacing w:line="264" w:lineRule="auto"/>
              <w:textAlignment w:val="auto"/>
              <w:rPr>
                <w:rFonts w:hint="default" w:ascii="Arial" w:hAnsi="Arial" w:cs="Arial"/>
                <w:i/>
                <w:iCs/>
                <w:sz w:val="16"/>
                <w:szCs w:val="18"/>
              </w:rPr>
            </w:pPr>
            <w:r>
              <w:rPr>
                <w:rFonts w:hint="default" w:ascii="Arial" w:hAnsi="Arial" w:cs="Arial"/>
                <w:i/>
                <w:iCs/>
                <w:sz w:val="16"/>
                <w:szCs w:val="18"/>
              </w:rPr>
              <w:t>Note 1: The necessity and feasibility of difference cases (Case1 to Case3b) needs further discussion/conclusion.</w:t>
            </w:r>
          </w:p>
          <w:p>
            <w:pPr>
              <w:keepNext w:val="0"/>
              <w:keepLines w:val="0"/>
              <w:pageBreakBefore w:val="0"/>
              <w:widowControl w:val="0"/>
              <w:kinsoku/>
              <w:wordWrap/>
              <w:overflowPunct/>
              <w:topLinePunct w:val="0"/>
              <w:autoSpaceDE/>
              <w:autoSpaceDN/>
              <w:bidi w:val="0"/>
              <w:adjustRightInd/>
              <w:snapToGrid/>
              <w:spacing w:line="264" w:lineRule="auto"/>
              <w:textAlignment w:val="auto"/>
              <w:rPr>
                <w:rFonts w:hint="default" w:ascii="Arial" w:hAnsi="Arial" w:cs="Arial"/>
                <w:i/>
                <w:iCs/>
                <w:sz w:val="16"/>
                <w:szCs w:val="18"/>
              </w:rPr>
            </w:pPr>
            <w:r>
              <w:rPr>
                <w:rFonts w:hint="default" w:ascii="Arial" w:hAnsi="Arial" w:cs="Arial"/>
                <w:i/>
                <w:iCs/>
                <w:sz w:val="16"/>
                <w:szCs w:val="18"/>
              </w:rPr>
              <w:t>Note 2: For measurements as model input, no agreement on measurement types (i.e., time, power, and/or phase) in RAN1 for all cases (i.e., Case1 to Case3b). Measurement types (including their necessity) and sizes/dimension needs to be further discussed. Candidate measurement types discussed/evaluated for model input include CIR (contains timing, power and phase information), PDP (contains timing and power information), DP (contains timing information). For labels (i.e., model output) of AI/ML assisted positioning (Case2a, Case3a), RAN1 identified an initial listing of candidates that provide performance benefits (i.e., timing info, LOS/NLOS indicator). RSRP/RSRPP is for further discussion.</w:t>
            </w:r>
          </w:p>
          <w:p>
            <w:pPr>
              <w:keepNext w:val="0"/>
              <w:keepLines w:val="0"/>
              <w:pageBreakBefore w:val="0"/>
              <w:widowControl w:val="0"/>
              <w:kinsoku/>
              <w:wordWrap/>
              <w:overflowPunct/>
              <w:topLinePunct w:val="0"/>
              <w:autoSpaceDE/>
              <w:autoSpaceDN/>
              <w:bidi w:val="0"/>
              <w:adjustRightInd/>
              <w:snapToGrid/>
              <w:spacing w:line="264" w:lineRule="auto"/>
              <w:textAlignment w:val="auto"/>
              <w:rPr>
                <w:rFonts w:hint="default" w:ascii="Arial" w:hAnsi="Arial" w:cs="Arial"/>
                <w:i/>
                <w:iCs/>
                <w:sz w:val="16"/>
                <w:szCs w:val="18"/>
                <w:lang w:val="en-US" w:eastAsia="zh-CN"/>
              </w:rPr>
            </w:pPr>
            <w:r>
              <w:rPr>
                <w:rFonts w:hint="default" w:ascii="Arial" w:hAnsi="Arial" w:cs="Arial"/>
                <w:i/>
                <w:iCs/>
                <w:sz w:val="16"/>
                <w:szCs w:val="18"/>
                <w:lang w:val="en-US" w:eastAsia="zh-CN"/>
              </w:rPr>
              <w:t xml:space="preserve">Note 3: The measurement size of one data sample = (measurement data size of one PRS/SRS resource)*(number of PRS/SRS resources needed for model input). The label size of one data sample = (label data size of one PRS/SRS resource)*(number of PRS/SRS resources needed for model output). The quantization and bit representation of time, power, and phase information (including their necessity) still need to be further discussed.  Existing specification allows reporting of </w:t>
            </w:r>
            <w:r>
              <w:rPr>
                <w:rFonts w:hint="default" w:ascii="Arial" w:hAnsi="Arial" w:cs="Arial"/>
                <w:i/>
                <w:iCs/>
                <w:sz w:val="16"/>
                <w:szCs w:val="18"/>
                <w:highlight w:val="yellow"/>
                <w:lang w:val="en-US" w:eastAsia="zh-CN"/>
              </w:rPr>
              <w:t>up to 64 PRS/SRS resources per frequency layer</w:t>
            </w:r>
            <w:r>
              <w:rPr>
                <w:rFonts w:hint="default" w:ascii="Arial" w:hAnsi="Arial" w:cs="Arial"/>
                <w:i/>
                <w:iCs/>
                <w:sz w:val="16"/>
                <w:szCs w:val="18"/>
                <w:lang w:val="en-US" w:eastAsia="zh-CN"/>
              </w:rPr>
              <w:t xml:space="preserve"> for one positioning fix. For evaluations, most companies considered up to 18 TRPs. It should be noted that AI/ML positioning is not restricted to work only with maximum of 18 TRPs.</w:t>
            </w:r>
          </w:p>
        </w:tc>
      </w:tr>
    </w:tbl>
    <w:p>
      <w:pPr>
        <w:pStyle w:val="8"/>
        <w:rPr>
          <w:rFonts w:hint="eastAsia" w:ascii="Arial" w:hAnsi="Arial" w:eastAsia="等线" w:cs="Arial"/>
          <w:sz w:val="20"/>
          <w:szCs w:val="21"/>
          <w:lang w:val="en-US" w:eastAsia="zh-CN"/>
        </w:rPr>
      </w:pPr>
    </w:p>
    <w:p>
      <w:pPr>
        <w:pStyle w:val="8"/>
        <w:rPr>
          <w:rFonts w:hint="eastAsia" w:ascii="Arial" w:hAnsi="Arial" w:eastAsia="等线" w:cs="Arial"/>
          <w:sz w:val="20"/>
          <w:szCs w:val="21"/>
          <w:lang w:val="en-US" w:eastAsia="zh-CN"/>
        </w:rPr>
      </w:pPr>
      <w:r>
        <w:rPr>
          <w:rFonts w:hint="eastAsia" w:ascii="Arial" w:hAnsi="Arial" w:eastAsia="等线" w:cs="Arial"/>
          <w:sz w:val="20"/>
          <w:szCs w:val="21"/>
          <w:lang w:val="en-US" w:eastAsia="zh-CN"/>
        </w:rPr>
        <w:t xml:space="preserve">Among the existing framework, the max payload size per reporting is the same (&lt;9kbyte per reporting) for MDT/L3 measurement/UAI/Early measurement/LPP, and for L1 measurement, the payload size is &lt;1706bit in PUCCH and &lt;3840bit in PUSCH. At first glance, the existing framework can support the data collection for model training per data sample except CSI prediction. In our understanding, for CSI prediction, the requirement will be satisfied if the number of RRC segmentation is extended. </w:t>
      </w:r>
    </w:p>
    <w:p>
      <w:pPr>
        <w:pStyle w:val="8"/>
        <w:rPr>
          <w:rFonts w:hint="eastAsia" w:ascii="Arial" w:hAnsi="Arial" w:eastAsia="等线" w:cs="Arial"/>
          <w:b/>
          <w:bCs/>
          <w:sz w:val="20"/>
          <w:szCs w:val="21"/>
          <w:lang w:val="en-US" w:eastAsia="zh-CN"/>
        </w:rPr>
      </w:pPr>
      <w:r>
        <w:rPr>
          <w:rFonts w:hint="eastAsia" w:ascii="Arial" w:hAnsi="Arial" w:eastAsia="等线" w:cs="Arial"/>
          <w:b/>
          <w:bCs/>
          <w:sz w:val="20"/>
          <w:szCs w:val="21"/>
          <w:lang w:val="en-US" w:eastAsia="zh-CN"/>
        </w:rPr>
        <w:t xml:space="preserve">Observation 3: The existing framework (max payload size &lt;9kbyte for RRC signaling) can support the data size requirements per data sample for model training for CSI compression, BM and positioning. </w:t>
      </w:r>
    </w:p>
    <w:p>
      <w:pPr>
        <w:pStyle w:val="8"/>
        <w:rPr>
          <w:rFonts w:hint="eastAsia" w:ascii="Arial" w:hAnsi="Arial" w:eastAsia="等线" w:cs="Arial"/>
          <w:b/>
          <w:bCs/>
          <w:sz w:val="20"/>
          <w:szCs w:val="21"/>
          <w:lang w:val="en-US" w:eastAsia="zh-CN"/>
        </w:rPr>
      </w:pPr>
      <w:r>
        <w:rPr>
          <w:rFonts w:hint="eastAsia" w:ascii="Arial" w:hAnsi="Arial" w:eastAsia="等线" w:cs="Arial"/>
          <w:b/>
          <w:bCs/>
          <w:sz w:val="20"/>
          <w:szCs w:val="21"/>
          <w:lang w:val="en-US" w:eastAsia="zh-CN"/>
        </w:rPr>
        <w:t>Observation 4: For CSI prediction, the data size requirement will be satisfied if the number of RRC segmentation can be extended.</w:t>
      </w:r>
    </w:p>
    <w:p>
      <w:pPr>
        <w:pStyle w:val="8"/>
        <w:rPr>
          <w:rFonts w:hint="default" w:ascii="Arial" w:hAnsi="Arial" w:eastAsia="等线" w:cs="Arial"/>
          <w:b w:val="0"/>
          <w:bCs w:val="0"/>
          <w:sz w:val="20"/>
          <w:szCs w:val="21"/>
          <w:lang w:val="en-US" w:eastAsia="zh-CN"/>
        </w:rPr>
      </w:pPr>
      <w:r>
        <w:rPr>
          <w:rFonts w:hint="eastAsia" w:ascii="Arial" w:hAnsi="Arial" w:eastAsia="等线" w:cs="Arial"/>
          <w:b w:val="0"/>
          <w:bCs w:val="0"/>
          <w:sz w:val="20"/>
          <w:szCs w:val="21"/>
          <w:lang w:val="en-US" w:eastAsia="zh-CN"/>
        </w:rPr>
        <w:t>Based on the above analysis, we prefer to further study the feasible data collection frameworks and down selection in WI phase.</w:t>
      </w:r>
    </w:p>
    <w:p>
      <w:pPr>
        <w:spacing w:before="120" w:beforeLines="50" w:after="120" w:line="260" w:lineRule="exact"/>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1: For model training, RAN2 further study the following data collection frameworks for each use case:</w:t>
      </w:r>
    </w:p>
    <w:p>
      <w:pPr>
        <w:spacing w:before="120" w:beforeLines="50" w:after="120" w:line="260" w:lineRule="exact"/>
        <w:ind w:firstLine="420" w:firstLineChars="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For CSI feedback: MDT, CSI reporting, L3 measurement, UAI</w:t>
      </w:r>
    </w:p>
    <w:p>
      <w:pPr>
        <w:spacing w:before="120" w:beforeLines="50" w:after="120" w:line="260" w:lineRule="exact"/>
        <w:ind w:firstLine="420" w:firstLineChars="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For beam management: MDT, L3 measurement, UAI</w:t>
      </w:r>
    </w:p>
    <w:p>
      <w:pPr>
        <w:spacing w:before="120" w:beforeLines="50" w:after="120" w:line="260" w:lineRule="exact"/>
        <w:ind w:firstLine="420" w:firstLineChars="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For positioning: LPP, MDT, L3 measurement, UAI</w:t>
      </w:r>
    </w:p>
    <w:p>
      <w:pPr>
        <w:spacing w:before="120" w:beforeLines="50" w:after="120" w:line="260" w:lineRule="exact"/>
        <w:rPr>
          <w:rFonts w:hint="default" w:ascii="Arial" w:hAnsi="Arial" w:cs="Arial"/>
          <w:b w:val="0"/>
          <w:bCs/>
          <w:sz w:val="20"/>
          <w:szCs w:val="20"/>
          <w:lang w:val="en-US" w:eastAsia="zh-CN"/>
        </w:rPr>
      </w:pPr>
    </w:p>
    <w:p>
      <w:pPr>
        <w:widowControl/>
        <w:spacing w:after="180"/>
        <w:outlineLvl w:val="1"/>
        <w:rPr>
          <w:rFonts w:hint="default" w:ascii="Arial" w:hAnsi="Arial" w:eastAsia="宋体" w:cs="Arial"/>
          <w:kern w:val="0"/>
          <w:sz w:val="32"/>
          <w:szCs w:val="18"/>
          <w:lang w:val="en-US" w:eastAsia="zh-CN"/>
        </w:rPr>
      </w:pPr>
      <w:r>
        <w:rPr>
          <w:rFonts w:hint="eastAsia" w:ascii="Arial" w:hAnsi="Arial" w:eastAsia="宋体" w:cs="Arial"/>
          <w:kern w:val="0"/>
          <w:sz w:val="32"/>
          <w:szCs w:val="18"/>
        </w:rPr>
        <w:t>2.</w:t>
      </w:r>
      <w:r>
        <w:rPr>
          <w:rFonts w:hint="eastAsia" w:ascii="Arial" w:hAnsi="Arial" w:eastAsia="宋体" w:cs="Arial"/>
          <w:kern w:val="0"/>
          <w:sz w:val="32"/>
          <w:szCs w:val="18"/>
          <w:lang w:val="en-US" w:eastAsia="zh-CN"/>
        </w:rPr>
        <w:t>2</w:t>
      </w:r>
      <w:r>
        <w:rPr>
          <w:rFonts w:hint="eastAsia" w:ascii="Arial" w:hAnsi="Arial" w:eastAsia="宋体" w:cs="Arial"/>
          <w:kern w:val="0"/>
          <w:sz w:val="32"/>
          <w:szCs w:val="18"/>
        </w:rPr>
        <w:t xml:space="preserve"> </w:t>
      </w:r>
      <w:r>
        <w:rPr>
          <w:rFonts w:hint="eastAsia" w:ascii="Arial" w:hAnsi="Arial" w:eastAsia="宋体" w:cs="Arial"/>
          <w:kern w:val="0"/>
          <w:sz w:val="32"/>
          <w:szCs w:val="18"/>
          <w:lang w:val="en-US" w:eastAsia="zh-CN"/>
        </w:rPr>
        <w:t>Data collection for model inference</w:t>
      </w:r>
    </w:p>
    <w:p>
      <w:pPr>
        <w:spacing w:before="120" w:beforeLines="50" w:after="120" w:line="260" w:lineRule="exact"/>
        <w:rPr>
          <w:rFonts w:hint="eastAsia" w:ascii="Arial" w:hAnsi="Arial" w:cs="Arial"/>
          <w:b w:val="0"/>
          <w:bCs/>
          <w:sz w:val="20"/>
          <w:szCs w:val="20"/>
          <w:lang w:val="en-US" w:eastAsia="zh-CN"/>
        </w:rPr>
      </w:pPr>
      <w:r>
        <w:rPr>
          <w:rFonts w:hint="eastAsia" w:ascii="Arial" w:hAnsi="Arial" w:cs="Arial"/>
          <w:b w:val="0"/>
          <w:bCs/>
          <w:sz w:val="20"/>
          <w:szCs w:val="20"/>
          <w:lang w:val="en-US" w:eastAsia="zh-CN"/>
        </w:rPr>
        <w:t>In reply LS, RAN1 indicates that L1 reporting can be used for CSI compression, CSI prediction and beam management use case, and the typical latency requirement is time-critical (e.g. a few msecs). Hence, it is not needed to discuss the same issue in RAN2, i.e. other data collection framework is not considered for model inference for CSI compression, CSI prediction and beam management.</w:t>
      </w:r>
    </w:p>
    <w:p>
      <w:pPr>
        <w:spacing w:before="120" w:beforeLines="50" w:after="120" w:line="260" w:lineRule="exact"/>
        <w:rPr>
          <w:rFonts w:hint="eastAsia" w:ascii="Arial" w:hAnsi="Arial" w:cs="Arial"/>
          <w:b/>
          <w:bCs w:val="0"/>
          <w:sz w:val="20"/>
          <w:szCs w:val="20"/>
          <w:lang w:val="en-US" w:eastAsia="zh-CN"/>
        </w:rPr>
      </w:pPr>
      <w:r>
        <w:rPr>
          <w:rFonts w:hint="eastAsia" w:ascii="Arial" w:hAnsi="Arial" w:cs="Arial"/>
          <w:b/>
          <w:bCs w:val="0"/>
          <w:sz w:val="20"/>
          <w:szCs w:val="20"/>
          <w:lang w:val="en-US" w:eastAsia="zh-CN"/>
        </w:rPr>
        <w:t>Observation 5: For CSI compression, CSI prediction and beam management, L1 reporting is used for model inference based on RAN1 agreements.</w:t>
      </w:r>
    </w:p>
    <w:p>
      <w:pPr>
        <w:spacing w:before="120" w:beforeLines="50" w:after="120" w:line="260" w:lineRule="exact"/>
        <w:rPr>
          <w:rFonts w:hint="default" w:ascii="Arial" w:hAnsi="Arial" w:cs="Arial"/>
          <w:b w:val="0"/>
          <w:bCs/>
          <w:sz w:val="20"/>
          <w:szCs w:val="20"/>
          <w:lang w:val="en-US" w:eastAsia="zh-CN"/>
        </w:rPr>
      </w:pPr>
      <w:r>
        <w:rPr>
          <w:rFonts w:hint="eastAsia" w:ascii="Arial" w:hAnsi="Arial" w:cs="Arial"/>
          <w:b w:val="0"/>
          <w:bCs/>
          <w:sz w:val="20"/>
          <w:szCs w:val="20"/>
          <w:lang w:val="en-US" w:eastAsia="zh-CN"/>
        </w:rPr>
        <w:t xml:space="preserve">For positioning, RAN2#123bis agreed that for LMF sided inference (case 2a/3a), LPP is applied to data collection between UE and LMF, and NRPPa is applied between gNB and LMF. </w:t>
      </w:r>
    </w:p>
    <w:p>
      <w:pPr>
        <w:pStyle w:val="24"/>
        <w:pBdr>
          <w:top w:val="single" w:color="auto" w:sz="4" w:space="1"/>
          <w:left w:val="single" w:color="auto" w:sz="4" w:space="4"/>
          <w:bottom w:val="single" w:color="auto" w:sz="4" w:space="1"/>
          <w:right w:val="single" w:color="auto" w:sz="4" w:space="4"/>
        </w:pBdr>
        <w:rPr>
          <w:rFonts w:hint="default" w:ascii="Arial" w:hAnsi="Arial" w:cs="Arial"/>
          <w:b w:val="0"/>
          <w:bCs w:val="0"/>
          <w:sz w:val="18"/>
          <w:szCs w:val="21"/>
          <w:lang w:val="en-US"/>
        </w:rPr>
      </w:pPr>
      <w:r>
        <w:rPr>
          <w:rFonts w:hint="default" w:ascii="Arial" w:hAnsi="Arial" w:cs="Arial"/>
          <w:b w:val="0"/>
          <w:bCs w:val="0"/>
          <w:sz w:val="18"/>
          <w:szCs w:val="21"/>
          <w:lang w:val="en-US"/>
        </w:rPr>
        <w:t>Positioning</w:t>
      </w:r>
    </w:p>
    <w:p>
      <w:pPr>
        <w:pStyle w:val="24"/>
        <w:pBdr>
          <w:top w:val="single" w:color="auto" w:sz="4" w:space="1"/>
          <w:left w:val="single" w:color="auto" w:sz="4" w:space="4"/>
          <w:bottom w:val="single" w:color="auto" w:sz="4" w:space="1"/>
          <w:right w:val="single" w:color="auto" w:sz="4" w:space="4"/>
        </w:pBdr>
        <w:rPr>
          <w:rFonts w:hint="default" w:ascii="Arial" w:hAnsi="Arial" w:cs="Arial"/>
          <w:b w:val="0"/>
          <w:bCs w:val="0"/>
          <w:sz w:val="18"/>
          <w:szCs w:val="21"/>
          <w:lang w:val="en-US"/>
        </w:rPr>
      </w:pPr>
      <w:r>
        <w:rPr>
          <w:rFonts w:hint="default" w:ascii="Arial" w:hAnsi="Arial" w:cs="Arial"/>
          <w:b w:val="0"/>
          <w:bCs w:val="0"/>
          <w:sz w:val="18"/>
          <w:szCs w:val="21"/>
          <w:lang w:val="en-US"/>
        </w:rPr>
        <w:tab/>
      </w:r>
      <w:r>
        <w:rPr>
          <w:rFonts w:hint="default" w:ascii="Arial" w:hAnsi="Arial" w:cs="Arial"/>
          <w:b w:val="0"/>
          <w:bCs w:val="0"/>
          <w:sz w:val="18"/>
          <w:szCs w:val="21"/>
          <w:lang w:val="en-US"/>
        </w:rPr>
        <w:t>For LMF sided inference (case 2b, case 3b), RAN2 assumes LPP protocol should be applied to the data collected by UE and terminated at LMF, while the NRPPa protocol should be applied to the data collected by gNB and terminated at LMF.</w:t>
      </w:r>
    </w:p>
    <w:p>
      <w:pPr>
        <w:spacing w:before="120" w:beforeLines="50" w:after="120" w:line="260" w:lineRule="exact"/>
        <w:rPr>
          <w:rFonts w:hint="default" w:ascii="Arial" w:hAnsi="Arial" w:cs="Arial"/>
          <w:b w:val="0"/>
          <w:bCs/>
          <w:sz w:val="20"/>
          <w:szCs w:val="20"/>
          <w:lang w:val="en-US" w:eastAsia="zh-CN"/>
        </w:rPr>
      </w:pPr>
      <w:r>
        <w:rPr>
          <w:rFonts w:hint="eastAsia" w:ascii="Arial" w:hAnsi="Arial" w:cs="Arial"/>
          <w:b w:val="0"/>
          <w:bCs/>
          <w:sz w:val="20"/>
          <w:szCs w:val="20"/>
          <w:lang w:val="en-US" w:eastAsia="zh-CN"/>
        </w:rPr>
        <w:t xml:space="preserve">In RAN1 reply LS on Part A [5], RAN1 agreed input data is internally available at gNB for gNB-sided model inference (case 3a), and UE for UE-side model inference (case 1/2a), which has no impacts on specs. </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widowControl w:val="0"/>
              <w:numPr>
                <w:ilvl w:val="0"/>
                <w:numId w:val="8"/>
              </w:numPr>
              <w:overflowPunct/>
              <w:autoSpaceDE/>
              <w:autoSpaceDN/>
              <w:adjustRightInd/>
              <w:spacing w:after="160" w:line="256" w:lineRule="auto"/>
              <w:ind w:left="210" w:leftChars="100"/>
              <w:textAlignment w:val="auto"/>
              <w:rPr>
                <w:rFonts w:ascii="Arial" w:hAnsi="Arial" w:eastAsia="宋体" w:cs="Arial"/>
                <w:color w:val="FF0000"/>
                <w:sz w:val="18"/>
                <w:szCs w:val="20"/>
                <w:lang w:eastAsia="ko-KR"/>
              </w:rPr>
            </w:pPr>
            <w:r>
              <w:rPr>
                <w:rFonts w:ascii="Arial" w:hAnsi="Arial" w:eastAsia="宋体" w:cs="Arial"/>
                <w:color w:val="FF0000"/>
                <w:sz w:val="18"/>
                <w:szCs w:val="20"/>
                <w:lang w:eastAsia="ko-KR"/>
              </w:rPr>
              <w:t xml:space="preserve">For gNB-sided model inference (Case 3a), </w:t>
            </w:r>
            <w:r>
              <w:rPr>
                <w:rFonts w:ascii="Arial" w:hAnsi="Arial" w:cs="Arial"/>
                <w:color w:val="FF0000"/>
                <w:sz w:val="18"/>
                <w:szCs w:val="20"/>
                <w:lang w:eastAsia="ko-KR"/>
              </w:rPr>
              <w:t>input data is internally available at gNB</w:t>
            </w:r>
            <w:r>
              <w:rPr>
                <w:rFonts w:ascii="Arial" w:hAnsi="Arial" w:eastAsia="宋体" w:cs="Arial"/>
                <w:color w:val="FF0000"/>
                <w:sz w:val="18"/>
                <w:szCs w:val="20"/>
                <w:lang w:eastAsia="ko-KR"/>
              </w:rPr>
              <w:t>.</w:t>
            </w:r>
          </w:p>
          <w:p>
            <w:pPr>
              <w:widowControl w:val="0"/>
              <w:numPr>
                <w:ilvl w:val="0"/>
                <w:numId w:val="8"/>
              </w:numPr>
              <w:overflowPunct/>
              <w:autoSpaceDE/>
              <w:autoSpaceDN/>
              <w:adjustRightInd/>
              <w:spacing w:after="160" w:line="256" w:lineRule="auto"/>
              <w:ind w:left="210" w:leftChars="100"/>
              <w:textAlignment w:val="auto"/>
              <w:rPr>
                <w:rFonts w:hint="eastAsia" w:ascii="Arial" w:hAnsi="Arial" w:cs="Arial"/>
                <w:b w:val="0"/>
                <w:bCs/>
                <w:sz w:val="20"/>
                <w:szCs w:val="20"/>
                <w:vertAlign w:val="baseline"/>
                <w:lang w:val="en-US" w:eastAsia="zh-CN"/>
              </w:rPr>
            </w:pPr>
            <w:r>
              <w:rPr>
                <w:rFonts w:ascii="Arial" w:hAnsi="Arial" w:eastAsia="宋体" w:cs="Arial"/>
                <w:sz w:val="18"/>
                <w:szCs w:val="20"/>
                <w:lang w:eastAsia="ko-KR"/>
              </w:rPr>
              <w:t xml:space="preserve">For UE-side model inference </w:t>
            </w:r>
            <w:r>
              <w:rPr>
                <w:rFonts w:ascii="Arial" w:hAnsi="Arial" w:eastAsia="宋体" w:cs="Arial"/>
                <w:color w:val="FF0000"/>
                <w:sz w:val="18"/>
                <w:szCs w:val="20"/>
                <w:lang w:eastAsia="ko-KR"/>
              </w:rPr>
              <w:t>(Case 1, Case 2a)</w:t>
            </w:r>
            <w:r>
              <w:rPr>
                <w:rFonts w:ascii="Arial" w:hAnsi="Arial" w:eastAsia="宋体" w:cs="Arial"/>
                <w:sz w:val="18"/>
                <w:szCs w:val="20"/>
                <w:lang w:eastAsia="ko-KR"/>
              </w:rPr>
              <w:t>,</w:t>
            </w:r>
            <w:r>
              <w:rPr>
                <w:rFonts w:ascii="Arial" w:hAnsi="Arial" w:cs="Arial"/>
                <w:sz w:val="18"/>
                <w:szCs w:val="20"/>
                <w:lang w:eastAsia="ko-KR"/>
              </w:rPr>
              <w:t xml:space="preserve"> input data</w:t>
            </w:r>
            <w:r>
              <w:rPr>
                <w:rFonts w:ascii="Arial" w:hAnsi="Arial" w:cs="Arial"/>
                <w:strike/>
                <w:color w:val="FF0000"/>
                <w:sz w:val="18"/>
                <w:szCs w:val="20"/>
                <w:lang w:eastAsia="ko-KR"/>
              </w:rPr>
              <w:t>/assistance information</w:t>
            </w:r>
            <w:r>
              <w:rPr>
                <w:rFonts w:ascii="Arial" w:hAnsi="Arial" w:eastAsia="宋体" w:cs="Arial"/>
                <w:color w:val="FF0000"/>
                <w:sz w:val="18"/>
                <w:szCs w:val="20"/>
                <w:lang w:eastAsia="ko-KR"/>
              </w:rPr>
              <w:t xml:space="preserve"> </w:t>
            </w:r>
            <w:r>
              <w:rPr>
                <w:rFonts w:ascii="Arial" w:hAnsi="Arial" w:cs="Arial"/>
                <w:color w:val="FF0000"/>
                <w:sz w:val="18"/>
                <w:szCs w:val="20"/>
                <w:lang w:eastAsia="ko-KR"/>
              </w:rPr>
              <w:t>is internally available at UE</w:t>
            </w:r>
            <w:r>
              <w:rPr>
                <w:rFonts w:ascii="Arial" w:hAnsi="Arial" w:cs="Arial"/>
                <w:sz w:val="18"/>
                <w:szCs w:val="20"/>
                <w:lang w:eastAsia="ko-KR"/>
              </w:rPr>
              <w:t xml:space="preserve"> </w:t>
            </w:r>
            <w:r>
              <w:rPr>
                <w:rFonts w:ascii="Arial" w:hAnsi="Arial" w:eastAsia="宋体" w:cs="Arial"/>
                <w:strike/>
                <w:color w:val="FF0000"/>
                <w:sz w:val="18"/>
                <w:szCs w:val="20"/>
                <w:lang w:eastAsia="ko-KR"/>
              </w:rPr>
              <w:t>can be generated by LMF/gNB and terminated at the UE</w:t>
            </w:r>
            <w:r>
              <w:rPr>
                <w:rFonts w:ascii="Arial" w:hAnsi="Arial" w:eastAsia="宋体" w:cs="Arial"/>
                <w:sz w:val="18"/>
                <w:szCs w:val="20"/>
                <w:lang w:eastAsia="ko-KR"/>
              </w:rPr>
              <w:t>.</w:t>
            </w:r>
          </w:p>
        </w:tc>
      </w:tr>
    </w:tbl>
    <w:p>
      <w:pPr>
        <w:spacing w:before="120" w:beforeLines="50" w:after="120" w:line="260" w:lineRule="exact"/>
        <w:rPr>
          <w:rFonts w:hint="eastAsia" w:ascii="Arial" w:hAnsi="Arial" w:cs="Arial"/>
          <w:b w:val="0"/>
          <w:bCs/>
          <w:sz w:val="20"/>
          <w:szCs w:val="20"/>
          <w:lang w:val="en-US" w:eastAsia="zh-CN"/>
        </w:rPr>
      </w:pPr>
      <w:r>
        <w:rPr>
          <w:rFonts w:hint="eastAsia" w:ascii="Arial" w:hAnsi="Arial" w:cs="Arial"/>
          <w:b w:val="0"/>
          <w:bCs/>
          <w:sz w:val="20"/>
          <w:szCs w:val="20"/>
          <w:lang w:val="en-US" w:eastAsia="zh-CN"/>
        </w:rPr>
        <w:t xml:space="preserve">In addition, in reply LS on Part B [4], RAN1 listed that the model output data content and typical size for case 1/2a/3a, which may be 10s bits to 100s bits. However, RAN1 has no agreements on the reporting latency for all sub-use cases. For now, we understand that LPP and NRPPa can be prioritized for model inference for case 1/2a/3a. </w:t>
      </w:r>
    </w:p>
    <w:tbl>
      <w:tblPr>
        <w:tblStyle w:val="13"/>
        <w:tblW w:w="9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6"/>
        <w:gridCol w:w="999"/>
        <w:gridCol w:w="2520"/>
        <w:gridCol w:w="2430"/>
        <w:gridCol w:w="1260"/>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66" w:type="dxa"/>
            <w:shd w:val="clear" w:color="auto" w:fill="auto"/>
          </w:tcPr>
          <w:p>
            <w:pPr>
              <w:snapToGrid w:val="0"/>
              <w:spacing w:before="100" w:beforeAutospacing="1" w:after="120"/>
              <w:rPr>
                <w:rFonts w:hint="default" w:ascii="Arial" w:hAnsi="Arial" w:cs="Arial"/>
                <w:b/>
                <w:bCs/>
                <w:sz w:val="16"/>
                <w:szCs w:val="16"/>
              </w:rPr>
            </w:pPr>
            <w:r>
              <w:rPr>
                <w:rFonts w:hint="default" w:ascii="Arial" w:hAnsi="Arial" w:cs="Arial"/>
                <w:b/>
                <w:bCs/>
                <w:sz w:val="16"/>
                <w:szCs w:val="16"/>
              </w:rPr>
              <w:t>LCM purpose</w:t>
            </w:r>
          </w:p>
        </w:tc>
        <w:tc>
          <w:tcPr>
            <w:tcW w:w="999" w:type="dxa"/>
            <w:shd w:val="clear" w:color="auto" w:fill="auto"/>
          </w:tcPr>
          <w:p>
            <w:pPr>
              <w:snapToGrid w:val="0"/>
              <w:spacing w:before="100" w:beforeAutospacing="1" w:after="120"/>
              <w:rPr>
                <w:rFonts w:hint="default" w:ascii="Arial" w:hAnsi="Arial" w:cs="Arial"/>
                <w:b/>
                <w:bCs/>
                <w:sz w:val="16"/>
                <w:szCs w:val="16"/>
              </w:rPr>
            </w:pPr>
            <w:r>
              <w:rPr>
                <w:rFonts w:hint="default" w:ascii="Arial" w:hAnsi="Arial" w:cs="Arial"/>
                <w:b/>
                <w:bCs/>
                <w:sz w:val="16"/>
                <w:szCs w:val="16"/>
              </w:rPr>
              <w:t>Case</w:t>
            </w:r>
          </w:p>
        </w:tc>
        <w:tc>
          <w:tcPr>
            <w:tcW w:w="2520" w:type="dxa"/>
            <w:shd w:val="clear" w:color="auto" w:fill="auto"/>
          </w:tcPr>
          <w:p>
            <w:pPr>
              <w:snapToGrid w:val="0"/>
              <w:spacing w:before="100" w:beforeAutospacing="1" w:after="120"/>
              <w:rPr>
                <w:rFonts w:hint="default" w:ascii="Arial" w:hAnsi="Arial" w:cs="Arial"/>
                <w:b/>
                <w:bCs/>
                <w:sz w:val="16"/>
                <w:szCs w:val="16"/>
              </w:rPr>
            </w:pPr>
            <w:r>
              <w:rPr>
                <w:rFonts w:hint="default" w:ascii="Arial" w:hAnsi="Arial" w:cs="Arial"/>
                <w:b/>
                <w:bCs/>
                <w:sz w:val="16"/>
                <w:szCs w:val="16"/>
              </w:rPr>
              <w:t>Data content</w:t>
            </w:r>
          </w:p>
        </w:tc>
        <w:tc>
          <w:tcPr>
            <w:tcW w:w="2430" w:type="dxa"/>
            <w:shd w:val="clear" w:color="auto" w:fill="auto"/>
          </w:tcPr>
          <w:p>
            <w:pPr>
              <w:snapToGrid w:val="0"/>
              <w:spacing w:before="100" w:beforeAutospacing="1" w:after="120"/>
              <w:rPr>
                <w:rFonts w:hint="default" w:ascii="Arial" w:hAnsi="Arial" w:cs="Arial"/>
                <w:b/>
                <w:bCs/>
                <w:sz w:val="16"/>
                <w:szCs w:val="16"/>
              </w:rPr>
            </w:pPr>
            <w:r>
              <w:rPr>
                <w:rFonts w:hint="default" w:ascii="Arial" w:hAnsi="Arial" w:cs="Arial"/>
                <w:b/>
                <w:bCs/>
                <w:sz w:val="16"/>
                <w:szCs w:val="16"/>
              </w:rPr>
              <w:t>Typical data size (per data sample)</w:t>
            </w:r>
          </w:p>
        </w:tc>
        <w:tc>
          <w:tcPr>
            <w:tcW w:w="1260" w:type="dxa"/>
            <w:shd w:val="clear" w:color="auto" w:fill="auto"/>
          </w:tcPr>
          <w:p>
            <w:pPr>
              <w:snapToGrid w:val="0"/>
              <w:spacing w:before="100" w:beforeAutospacing="1" w:after="120"/>
              <w:rPr>
                <w:rFonts w:hint="default" w:ascii="Arial" w:hAnsi="Arial" w:cs="Arial"/>
                <w:b/>
                <w:bCs/>
                <w:sz w:val="16"/>
                <w:szCs w:val="16"/>
              </w:rPr>
            </w:pPr>
            <w:r>
              <w:rPr>
                <w:rFonts w:hint="default" w:ascii="Arial" w:hAnsi="Arial" w:cs="Arial"/>
                <w:b/>
                <w:bCs/>
                <w:sz w:val="16"/>
                <w:szCs w:val="16"/>
              </w:rPr>
              <w:t>Typical latency requirement</w:t>
            </w:r>
          </w:p>
        </w:tc>
        <w:tc>
          <w:tcPr>
            <w:tcW w:w="1530" w:type="dxa"/>
            <w:shd w:val="clear" w:color="auto" w:fill="auto"/>
          </w:tcPr>
          <w:p>
            <w:pPr>
              <w:snapToGrid w:val="0"/>
              <w:spacing w:before="100" w:beforeAutospacing="1" w:after="120"/>
              <w:rPr>
                <w:rFonts w:hint="default" w:ascii="Arial" w:hAnsi="Arial" w:cs="Arial"/>
                <w:b/>
                <w:bCs/>
                <w:sz w:val="16"/>
                <w:szCs w:val="16"/>
              </w:rPr>
            </w:pPr>
            <w:r>
              <w:rPr>
                <w:rFonts w:hint="default" w:ascii="Arial" w:hAnsi="Arial" w:cs="Arial"/>
                <w:b/>
                <w:bCs/>
                <w:sz w:val="16"/>
                <w:szCs w:val="16"/>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066" w:type="dxa"/>
            <w:vMerge w:val="restart"/>
            <w:shd w:val="clear" w:color="auto" w:fill="auto"/>
          </w:tcPr>
          <w:p>
            <w:pPr>
              <w:snapToGrid w:val="0"/>
              <w:spacing w:before="100" w:beforeAutospacing="1" w:after="120"/>
              <w:rPr>
                <w:rFonts w:hint="default" w:ascii="Arial" w:hAnsi="Arial" w:eastAsia="宋体" w:cs="Arial"/>
                <w:bCs/>
                <w:sz w:val="16"/>
                <w:szCs w:val="16"/>
              </w:rPr>
            </w:pPr>
            <w:r>
              <w:rPr>
                <w:rFonts w:hint="default" w:ascii="Arial" w:hAnsi="Arial" w:eastAsia="宋体" w:cs="Arial"/>
                <w:bCs/>
                <w:sz w:val="16"/>
                <w:szCs w:val="16"/>
              </w:rPr>
              <w:t>Inference</w:t>
            </w:r>
          </w:p>
        </w:tc>
        <w:tc>
          <w:tcPr>
            <w:tcW w:w="999" w:type="dxa"/>
            <w:shd w:val="clear" w:color="auto" w:fill="auto"/>
          </w:tcPr>
          <w:p>
            <w:pPr>
              <w:snapToGrid w:val="0"/>
              <w:spacing w:before="100" w:beforeAutospacing="1" w:after="120"/>
              <w:rPr>
                <w:rFonts w:hint="default" w:ascii="Arial" w:hAnsi="Arial" w:cs="Arial"/>
                <w:sz w:val="16"/>
                <w:szCs w:val="16"/>
              </w:rPr>
            </w:pPr>
            <w:r>
              <w:rPr>
                <w:rFonts w:hint="default" w:ascii="Arial" w:hAnsi="Arial" w:cs="Arial"/>
                <w:sz w:val="16"/>
                <w:szCs w:val="16"/>
              </w:rPr>
              <w:t>1</w:t>
            </w:r>
          </w:p>
        </w:tc>
        <w:tc>
          <w:tcPr>
            <w:tcW w:w="2520" w:type="dxa"/>
            <w:shd w:val="clear" w:color="auto" w:fill="auto"/>
          </w:tcPr>
          <w:p>
            <w:pPr>
              <w:rPr>
                <w:rFonts w:hint="default" w:ascii="Arial" w:hAnsi="Arial" w:cs="Arial"/>
                <w:sz w:val="16"/>
                <w:szCs w:val="16"/>
              </w:rPr>
            </w:pPr>
            <w:r>
              <w:rPr>
                <w:rFonts w:hint="default" w:ascii="Arial" w:hAnsi="Arial" w:cs="Arial"/>
                <w:sz w:val="16"/>
                <w:szCs w:val="16"/>
              </w:rPr>
              <w:t>Location coordinates as model output</w:t>
            </w:r>
          </w:p>
        </w:tc>
        <w:tc>
          <w:tcPr>
            <w:tcW w:w="2430" w:type="dxa"/>
            <w:shd w:val="clear" w:color="auto" w:fill="auto"/>
          </w:tcPr>
          <w:p>
            <w:pPr>
              <w:rPr>
                <w:rFonts w:hint="default" w:ascii="Arial" w:hAnsi="Arial" w:cs="Arial"/>
                <w:sz w:val="16"/>
                <w:szCs w:val="16"/>
              </w:rPr>
            </w:pPr>
            <w:r>
              <w:rPr>
                <w:rFonts w:hint="default" w:ascii="Arial" w:hAnsi="Arial" w:cs="Arial"/>
                <w:sz w:val="16"/>
                <w:szCs w:val="16"/>
              </w:rPr>
              <w:t>56 to 144 bits</w:t>
            </w:r>
          </w:p>
          <w:p>
            <w:pPr>
              <w:rPr>
                <w:rFonts w:hint="default" w:ascii="Arial" w:hAnsi="Arial" w:cs="Arial"/>
                <w:sz w:val="16"/>
                <w:szCs w:val="16"/>
              </w:rPr>
            </w:pPr>
            <w:r>
              <w:rPr>
                <w:rFonts w:hint="default" w:ascii="Arial" w:hAnsi="Arial" w:cs="Arial"/>
                <w:sz w:val="16"/>
                <w:szCs w:val="16"/>
              </w:rPr>
              <w:t>See Note 3</w:t>
            </w:r>
          </w:p>
        </w:tc>
        <w:tc>
          <w:tcPr>
            <w:tcW w:w="1260" w:type="dxa"/>
            <w:shd w:val="clear" w:color="auto" w:fill="auto"/>
          </w:tcPr>
          <w:p>
            <w:pPr>
              <w:snapToGrid w:val="0"/>
              <w:spacing w:before="100" w:beforeAutospacing="1" w:after="120"/>
              <w:rPr>
                <w:rFonts w:hint="default" w:ascii="Arial" w:hAnsi="Arial" w:cs="Arial"/>
                <w:sz w:val="16"/>
                <w:szCs w:val="16"/>
              </w:rPr>
            </w:pPr>
            <w:r>
              <w:rPr>
                <w:rFonts w:hint="default" w:ascii="Arial" w:hAnsi="Arial" w:cs="Arial"/>
                <w:sz w:val="16"/>
                <w:szCs w:val="16"/>
              </w:rPr>
              <w:t>See Note 5</w:t>
            </w:r>
          </w:p>
        </w:tc>
        <w:tc>
          <w:tcPr>
            <w:tcW w:w="1530" w:type="dxa"/>
            <w:shd w:val="clear" w:color="auto" w:fill="auto"/>
          </w:tcPr>
          <w:p>
            <w:pPr>
              <w:rPr>
                <w:rFonts w:hint="default" w:ascii="Arial" w:hAnsi="Arial"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trPr>
        <w:tc>
          <w:tcPr>
            <w:tcW w:w="1066" w:type="dxa"/>
            <w:vMerge w:val="continue"/>
            <w:shd w:val="clear" w:color="auto" w:fill="auto"/>
          </w:tcPr>
          <w:p>
            <w:pPr>
              <w:snapToGrid w:val="0"/>
              <w:spacing w:before="100" w:beforeAutospacing="1" w:after="120"/>
              <w:rPr>
                <w:rFonts w:hint="default" w:ascii="Arial" w:hAnsi="Arial" w:eastAsia="宋体" w:cs="Arial"/>
                <w:bCs/>
                <w:sz w:val="16"/>
                <w:szCs w:val="16"/>
              </w:rPr>
            </w:pPr>
          </w:p>
        </w:tc>
        <w:tc>
          <w:tcPr>
            <w:tcW w:w="999" w:type="dxa"/>
            <w:shd w:val="clear" w:color="auto" w:fill="auto"/>
          </w:tcPr>
          <w:p>
            <w:pPr>
              <w:snapToGrid w:val="0"/>
              <w:spacing w:before="100" w:beforeAutospacing="1" w:after="120"/>
              <w:rPr>
                <w:rFonts w:hint="default" w:ascii="Arial" w:hAnsi="Arial" w:cs="Arial"/>
                <w:sz w:val="16"/>
                <w:szCs w:val="16"/>
              </w:rPr>
            </w:pPr>
            <w:r>
              <w:rPr>
                <w:rFonts w:hint="default" w:ascii="Arial" w:hAnsi="Arial" w:cs="Arial"/>
                <w:sz w:val="16"/>
                <w:szCs w:val="16"/>
              </w:rPr>
              <w:t>2a, 3a</w:t>
            </w:r>
          </w:p>
        </w:tc>
        <w:tc>
          <w:tcPr>
            <w:tcW w:w="2520" w:type="dxa"/>
            <w:shd w:val="clear" w:color="auto" w:fill="auto"/>
          </w:tcPr>
          <w:p>
            <w:pPr>
              <w:rPr>
                <w:rFonts w:hint="default" w:ascii="Arial" w:hAnsi="Arial" w:cs="Arial"/>
                <w:sz w:val="16"/>
                <w:szCs w:val="16"/>
              </w:rPr>
            </w:pPr>
            <w:r>
              <w:rPr>
                <w:rFonts w:hint="default" w:ascii="Arial" w:hAnsi="Arial" w:cs="Arial"/>
                <w:sz w:val="16"/>
                <w:szCs w:val="16"/>
              </w:rPr>
              <w:t>Intermediate positioning measurement (timing info, LOS/NLOS indicator) as model output</w:t>
            </w:r>
          </w:p>
          <w:p>
            <w:pPr>
              <w:rPr>
                <w:rFonts w:hint="default" w:ascii="Arial" w:hAnsi="Arial" w:cs="Arial"/>
                <w:sz w:val="16"/>
                <w:szCs w:val="16"/>
              </w:rPr>
            </w:pPr>
            <w:r>
              <w:rPr>
                <w:rFonts w:hint="default" w:ascii="Arial" w:hAnsi="Arial" w:cs="Arial"/>
                <w:sz w:val="16"/>
                <w:szCs w:val="16"/>
              </w:rPr>
              <w:t>See Note 2</w:t>
            </w:r>
          </w:p>
        </w:tc>
        <w:tc>
          <w:tcPr>
            <w:tcW w:w="2430" w:type="dxa"/>
            <w:shd w:val="clear" w:color="auto" w:fill="auto"/>
          </w:tcPr>
          <w:p>
            <w:pPr>
              <w:rPr>
                <w:rFonts w:hint="default" w:ascii="Arial" w:hAnsi="Arial" w:cs="Arial"/>
                <w:sz w:val="16"/>
                <w:szCs w:val="16"/>
              </w:rPr>
            </w:pPr>
            <w:r>
              <w:rPr>
                <w:rFonts w:hint="default" w:ascii="Arial" w:hAnsi="Arial" w:cs="Arial"/>
                <w:sz w:val="16"/>
                <w:szCs w:val="16"/>
              </w:rPr>
              <w:t>10s bits to 100s bits per PRS/SRS resource</w:t>
            </w:r>
          </w:p>
          <w:p>
            <w:pPr>
              <w:rPr>
                <w:rFonts w:hint="default" w:ascii="Arial" w:hAnsi="Arial" w:cs="Arial"/>
                <w:sz w:val="16"/>
                <w:szCs w:val="16"/>
              </w:rPr>
            </w:pPr>
            <w:r>
              <w:rPr>
                <w:rFonts w:hint="default" w:ascii="Arial" w:hAnsi="Arial" w:cs="Arial"/>
                <w:sz w:val="16"/>
                <w:szCs w:val="16"/>
              </w:rPr>
              <w:t>See Note 3</w:t>
            </w:r>
          </w:p>
        </w:tc>
        <w:tc>
          <w:tcPr>
            <w:tcW w:w="1260" w:type="dxa"/>
            <w:shd w:val="clear" w:color="auto" w:fill="auto"/>
          </w:tcPr>
          <w:p>
            <w:pPr>
              <w:snapToGrid w:val="0"/>
              <w:spacing w:before="100" w:beforeAutospacing="1" w:after="120"/>
              <w:rPr>
                <w:rFonts w:hint="default" w:ascii="Arial" w:hAnsi="Arial" w:eastAsia="宋体" w:cs="Arial"/>
                <w:strike/>
                <w:sz w:val="16"/>
                <w:szCs w:val="16"/>
              </w:rPr>
            </w:pPr>
            <w:r>
              <w:rPr>
                <w:rFonts w:hint="default" w:ascii="Arial" w:hAnsi="Arial" w:cs="Arial"/>
                <w:sz w:val="16"/>
                <w:szCs w:val="16"/>
              </w:rPr>
              <w:t>See Note 5</w:t>
            </w:r>
          </w:p>
        </w:tc>
        <w:tc>
          <w:tcPr>
            <w:tcW w:w="1530" w:type="dxa"/>
            <w:shd w:val="clear" w:color="auto" w:fill="auto"/>
          </w:tcPr>
          <w:p>
            <w:pPr>
              <w:snapToGrid w:val="0"/>
              <w:spacing w:before="100" w:beforeAutospacing="1" w:after="120"/>
              <w:rPr>
                <w:rFonts w:hint="default" w:ascii="Arial" w:hAnsi="Arial"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6" w:type="dxa"/>
            <w:vMerge w:val="continue"/>
            <w:shd w:val="clear" w:color="auto" w:fill="auto"/>
          </w:tcPr>
          <w:p>
            <w:pPr>
              <w:snapToGrid w:val="0"/>
              <w:spacing w:before="100" w:beforeAutospacing="1" w:after="120"/>
              <w:rPr>
                <w:rFonts w:hint="default" w:ascii="Arial" w:hAnsi="Arial" w:eastAsia="宋体" w:cs="Arial"/>
                <w:bCs/>
                <w:sz w:val="16"/>
                <w:szCs w:val="16"/>
              </w:rPr>
            </w:pPr>
          </w:p>
        </w:tc>
        <w:tc>
          <w:tcPr>
            <w:tcW w:w="999" w:type="dxa"/>
            <w:shd w:val="clear" w:color="auto" w:fill="auto"/>
          </w:tcPr>
          <w:p>
            <w:pPr>
              <w:snapToGrid w:val="0"/>
              <w:spacing w:before="100" w:beforeAutospacing="1" w:after="120"/>
              <w:rPr>
                <w:rFonts w:hint="default" w:ascii="Arial" w:hAnsi="Arial" w:cs="Arial"/>
                <w:sz w:val="16"/>
                <w:szCs w:val="16"/>
              </w:rPr>
            </w:pPr>
            <w:r>
              <w:rPr>
                <w:rFonts w:hint="default" w:ascii="Arial" w:hAnsi="Arial" w:cs="Arial"/>
                <w:sz w:val="16"/>
                <w:szCs w:val="16"/>
              </w:rPr>
              <w:t>2b, 3b</w:t>
            </w:r>
          </w:p>
        </w:tc>
        <w:tc>
          <w:tcPr>
            <w:tcW w:w="2520" w:type="dxa"/>
            <w:shd w:val="clear" w:color="auto" w:fill="auto"/>
          </w:tcPr>
          <w:p>
            <w:pPr>
              <w:rPr>
                <w:rFonts w:hint="default" w:ascii="Arial" w:hAnsi="Arial" w:cs="Arial"/>
                <w:sz w:val="16"/>
                <w:szCs w:val="16"/>
              </w:rPr>
            </w:pPr>
            <w:r>
              <w:rPr>
                <w:rFonts w:hint="default" w:ascii="Arial" w:hAnsi="Arial" w:cs="Arial"/>
                <w:sz w:val="16"/>
                <w:szCs w:val="16"/>
              </w:rPr>
              <w:t>Measurements (corresponding to model input):</w:t>
            </w:r>
          </w:p>
          <w:p>
            <w:pPr>
              <w:rPr>
                <w:rFonts w:hint="default" w:ascii="Arial" w:hAnsi="Arial" w:cs="Arial"/>
                <w:sz w:val="16"/>
                <w:szCs w:val="16"/>
              </w:rPr>
            </w:pPr>
            <w:r>
              <w:rPr>
                <w:rFonts w:hint="default" w:ascii="Arial" w:hAnsi="Arial" w:cs="Arial"/>
                <w:sz w:val="16"/>
                <w:szCs w:val="16"/>
              </w:rPr>
              <w:t xml:space="preserve">Timing, power, and/or phase info </w:t>
            </w:r>
          </w:p>
          <w:p>
            <w:pPr>
              <w:rPr>
                <w:rFonts w:hint="default" w:ascii="Arial" w:hAnsi="Arial" w:cs="Arial"/>
                <w:sz w:val="16"/>
                <w:szCs w:val="16"/>
              </w:rPr>
            </w:pPr>
            <w:r>
              <w:rPr>
                <w:rFonts w:hint="default" w:ascii="Arial" w:hAnsi="Arial" w:cs="Arial"/>
                <w:sz w:val="16"/>
                <w:szCs w:val="16"/>
              </w:rPr>
              <w:t>See Note 2</w:t>
            </w:r>
          </w:p>
        </w:tc>
        <w:tc>
          <w:tcPr>
            <w:tcW w:w="2430" w:type="dxa"/>
            <w:shd w:val="clear" w:color="auto" w:fill="auto"/>
          </w:tcPr>
          <w:p>
            <w:pPr>
              <w:rPr>
                <w:rFonts w:hint="default" w:ascii="Arial" w:hAnsi="Arial" w:cs="Arial"/>
                <w:sz w:val="16"/>
                <w:szCs w:val="16"/>
              </w:rPr>
            </w:pPr>
            <w:r>
              <w:rPr>
                <w:rFonts w:hint="default" w:ascii="Arial" w:hAnsi="Arial" w:cs="Arial"/>
                <w:sz w:val="16"/>
                <w:szCs w:val="16"/>
              </w:rPr>
              <w:t>Size depends on number of PRS/SRS resources, measurement type (timing, power, and/or phase info) and report format:</w:t>
            </w:r>
          </w:p>
          <w:p>
            <w:pPr>
              <w:rPr>
                <w:rFonts w:hint="default" w:ascii="Arial" w:hAnsi="Arial" w:cs="Arial"/>
                <w:sz w:val="16"/>
                <w:szCs w:val="16"/>
              </w:rPr>
            </w:pPr>
            <w:r>
              <w:rPr>
                <w:rFonts w:hint="default" w:ascii="Arial" w:hAnsi="Arial" w:cs="Arial"/>
                <w:sz w:val="16"/>
                <w:szCs w:val="16"/>
              </w:rPr>
              <w:t>~100 bits to 1000s bits per PRS/SRS resource</w:t>
            </w:r>
          </w:p>
          <w:p>
            <w:pPr>
              <w:rPr>
                <w:rFonts w:hint="default" w:ascii="Arial" w:hAnsi="Arial" w:cs="Arial"/>
                <w:sz w:val="16"/>
                <w:szCs w:val="16"/>
              </w:rPr>
            </w:pPr>
            <w:r>
              <w:rPr>
                <w:rFonts w:hint="default" w:ascii="Arial" w:hAnsi="Arial" w:cs="Arial"/>
                <w:sz w:val="16"/>
                <w:szCs w:val="16"/>
              </w:rPr>
              <w:t>See Note 3</w:t>
            </w:r>
          </w:p>
        </w:tc>
        <w:tc>
          <w:tcPr>
            <w:tcW w:w="1260" w:type="dxa"/>
            <w:shd w:val="clear" w:color="auto" w:fill="auto"/>
          </w:tcPr>
          <w:p>
            <w:pPr>
              <w:snapToGrid w:val="0"/>
              <w:spacing w:before="100" w:beforeAutospacing="1" w:after="120"/>
              <w:rPr>
                <w:rFonts w:hint="default" w:ascii="Arial" w:hAnsi="Arial" w:eastAsia="宋体" w:cs="Arial"/>
                <w:strike/>
                <w:sz w:val="16"/>
                <w:szCs w:val="16"/>
              </w:rPr>
            </w:pPr>
            <w:r>
              <w:rPr>
                <w:rFonts w:hint="default" w:ascii="Arial" w:hAnsi="Arial" w:cs="Arial"/>
                <w:sz w:val="16"/>
                <w:szCs w:val="16"/>
              </w:rPr>
              <w:t>See Note 5</w:t>
            </w:r>
          </w:p>
        </w:tc>
        <w:tc>
          <w:tcPr>
            <w:tcW w:w="1530" w:type="dxa"/>
            <w:shd w:val="clear" w:color="auto" w:fill="auto"/>
          </w:tcPr>
          <w:p>
            <w:pPr>
              <w:snapToGrid w:val="0"/>
              <w:spacing w:before="100" w:beforeAutospacing="1" w:after="120"/>
              <w:rPr>
                <w:rFonts w:hint="default" w:ascii="Arial" w:hAnsi="Arial" w:cs="Arial"/>
                <w:sz w:val="16"/>
                <w:szCs w:val="16"/>
              </w:rPr>
            </w:pPr>
          </w:p>
        </w:tc>
      </w:tr>
    </w:tbl>
    <w:p>
      <w:pPr>
        <w:rPr>
          <w:rFonts w:hint="default" w:ascii="Arial" w:hAnsi="Arial" w:cs="Arial"/>
          <w:i/>
          <w:iCs/>
          <w:sz w:val="16"/>
          <w:szCs w:val="18"/>
          <w:lang w:val="en-GB" w:eastAsia="zh-CN"/>
        </w:rPr>
      </w:pPr>
      <w:r>
        <w:rPr>
          <w:rFonts w:hint="default" w:ascii="Arial" w:hAnsi="Arial" w:cs="Arial"/>
          <w:i/>
          <w:iCs/>
          <w:sz w:val="16"/>
          <w:szCs w:val="18"/>
          <w:lang w:val="en-GB" w:eastAsia="zh-CN"/>
        </w:rPr>
        <w:t xml:space="preserve">Note 4: No agreement on reporting types (i.e., periodicity, event-triggered/on-demand, etc.). </w:t>
      </w:r>
    </w:p>
    <w:p>
      <w:pPr>
        <w:rPr>
          <w:rFonts w:hint="eastAsia" w:ascii="Arial" w:hAnsi="Arial" w:cs="Arial"/>
          <w:b w:val="0"/>
          <w:bCs/>
          <w:sz w:val="20"/>
          <w:szCs w:val="20"/>
          <w:lang w:val="en-US" w:eastAsia="zh-CN"/>
        </w:rPr>
      </w:pPr>
      <w:r>
        <w:rPr>
          <w:rFonts w:hint="default" w:ascii="Arial" w:hAnsi="Arial" w:cs="Arial"/>
          <w:i/>
          <w:iCs/>
          <w:sz w:val="16"/>
          <w:szCs w:val="18"/>
          <w:lang w:val="en-US" w:eastAsia="zh-CN"/>
        </w:rPr>
        <w:t>Note 5: There are</w:t>
      </w:r>
      <w:r>
        <w:rPr>
          <w:rFonts w:hint="default" w:ascii="Arial" w:hAnsi="Arial" w:cs="Arial"/>
          <w:i/>
          <w:iCs/>
          <w:sz w:val="16"/>
          <w:szCs w:val="16"/>
        </w:rPr>
        <w:t xml:space="preserve"> </w:t>
      </w:r>
      <w:r>
        <w:rPr>
          <w:rFonts w:hint="default" w:ascii="Arial" w:hAnsi="Arial" w:cs="Arial"/>
          <w:i/>
          <w:iCs/>
          <w:sz w:val="16"/>
          <w:szCs w:val="16"/>
          <w:highlight w:val="yellow"/>
        </w:rPr>
        <w:t>no agreements on the reporting latency</w:t>
      </w:r>
      <w:r>
        <w:rPr>
          <w:rFonts w:hint="default" w:ascii="Arial" w:hAnsi="Arial" w:cs="Arial"/>
          <w:i/>
          <w:iCs/>
          <w:sz w:val="16"/>
          <w:szCs w:val="16"/>
        </w:rPr>
        <w:t>.</w:t>
      </w:r>
    </w:p>
    <w:p>
      <w:pPr>
        <w:spacing w:before="120" w:beforeLines="50" w:after="120" w:line="260" w:lineRule="exact"/>
        <w:rPr>
          <w:rFonts w:hint="default" w:ascii="Arial" w:hAnsi="Arial" w:cs="Arial"/>
          <w:b/>
          <w:bCs w:val="0"/>
          <w:sz w:val="20"/>
          <w:szCs w:val="20"/>
          <w:lang w:val="en-US" w:eastAsia="zh-CN"/>
        </w:rPr>
      </w:pPr>
      <w:r>
        <w:rPr>
          <w:rFonts w:hint="eastAsia" w:ascii="Arial" w:hAnsi="Arial" w:cs="Arial"/>
          <w:b/>
          <w:bCs w:val="0"/>
          <w:sz w:val="20"/>
          <w:szCs w:val="20"/>
          <w:lang w:val="en-US" w:eastAsia="zh-CN"/>
        </w:rPr>
        <w:t>Proposal 2: For positioning use case, for UE-side model (case 1/2a), RAN2 assumes LPP protocol is applied to the data of model output collected by UE and terminated at LMF, while for gNB-sided model (case 3a), the NRPPa protocol is applied to the data of model output collected by gNB and terminated at LMF.</w:t>
      </w:r>
    </w:p>
    <w:p>
      <w:pPr>
        <w:spacing w:before="120" w:beforeLines="50" w:after="120" w:line="260" w:lineRule="exact"/>
        <w:rPr>
          <w:rFonts w:hint="default" w:ascii="Arial" w:hAnsi="Arial" w:cs="Arial"/>
          <w:b w:val="0"/>
          <w:bCs/>
          <w:sz w:val="20"/>
          <w:szCs w:val="20"/>
          <w:lang w:val="en-US" w:eastAsia="zh-CN"/>
        </w:rPr>
      </w:pPr>
    </w:p>
    <w:p>
      <w:pPr>
        <w:widowControl/>
        <w:spacing w:after="180"/>
        <w:outlineLvl w:val="1"/>
        <w:rPr>
          <w:rFonts w:hint="default" w:ascii="Arial" w:hAnsi="Arial" w:eastAsia="宋体" w:cs="Arial"/>
          <w:kern w:val="0"/>
          <w:sz w:val="32"/>
          <w:szCs w:val="18"/>
          <w:lang w:val="en-US" w:eastAsia="zh-CN"/>
        </w:rPr>
      </w:pPr>
      <w:r>
        <w:rPr>
          <w:rFonts w:hint="eastAsia" w:ascii="Arial" w:hAnsi="Arial" w:eastAsia="宋体" w:cs="Arial"/>
          <w:kern w:val="0"/>
          <w:sz w:val="32"/>
          <w:szCs w:val="18"/>
        </w:rPr>
        <w:t>2.</w:t>
      </w:r>
      <w:r>
        <w:rPr>
          <w:rFonts w:hint="eastAsia" w:ascii="Arial" w:hAnsi="Arial" w:eastAsia="宋体" w:cs="Arial"/>
          <w:kern w:val="0"/>
          <w:sz w:val="32"/>
          <w:szCs w:val="18"/>
          <w:lang w:val="en-US" w:eastAsia="zh-CN"/>
        </w:rPr>
        <w:t>2</w:t>
      </w:r>
      <w:r>
        <w:rPr>
          <w:rFonts w:hint="eastAsia" w:ascii="Arial" w:hAnsi="Arial" w:eastAsia="宋体" w:cs="Arial"/>
          <w:kern w:val="0"/>
          <w:sz w:val="32"/>
          <w:szCs w:val="18"/>
        </w:rPr>
        <w:t xml:space="preserve"> </w:t>
      </w:r>
      <w:r>
        <w:rPr>
          <w:rFonts w:hint="eastAsia" w:ascii="Arial" w:hAnsi="Arial" w:eastAsia="宋体" w:cs="Arial"/>
          <w:kern w:val="0"/>
          <w:sz w:val="32"/>
          <w:szCs w:val="18"/>
          <w:lang w:val="en-US" w:eastAsia="zh-CN"/>
        </w:rPr>
        <w:t>Data collection for model monitoring</w:t>
      </w:r>
    </w:p>
    <w:p>
      <w:pPr>
        <w:pStyle w:val="8"/>
        <w:rPr>
          <w:rFonts w:hint="default" w:ascii="Arial" w:hAnsi="Arial" w:cs="Arial"/>
          <w:b w:val="0"/>
          <w:bCs/>
          <w:sz w:val="20"/>
          <w:szCs w:val="20"/>
          <w:lang w:val="en-US" w:eastAsia="zh-CN"/>
        </w:rPr>
      </w:pPr>
      <w:r>
        <w:rPr>
          <w:rFonts w:hint="eastAsia" w:ascii="Arial" w:hAnsi="Arial" w:cs="Arial"/>
          <w:b w:val="0"/>
          <w:bCs/>
          <w:sz w:val="20"/>
          <w:szCs w:val="20"/>
          <w:lang w:val="en-US" w:eastAsia="zh-CN"/>
        </w:rPr>
        <w:t xml:space="preserve">As per RAN1 reply LS, the typical latency requirement for model monitoring for all use cases is near-real-time (e.g. several tens of msecs to a few seconds). In addition, RAN1 captures data content and typical data size per use case. </w:t>
      </w:r>
    </w:p>
    <w:p>
      <w:pPr>
        <w:pStyle w:val="8"/>
        <w:ind w:leftChars="100"/>
        <w:rPr>
          <w:rFonts w:hint="eastAsia" w:ascii="Arial" w:hAnsi="Arial" w:eastAsia="等线" w:cs="Arial"/>
          <w:sz w:val="20"/>
          <w:szCs w:val="21"/>
          <w:lang w:val="en-US" w:eastAsia="zh-CN"/>
        </w:rPr>
      </w:pPr>
      <w:r>
        <w:rPr>
          <w:rFonts w:hint="eastAsia" w:ascii="Arial" w:hAnsi="Arial" w:eastAsia="等线" w:cs="Arial"/>
          <w:b/>
          <w:bCs/>
          <w:sz w:val="20"/>
          <w:szCs w:val="21"/>
          <w:lang w:val="en-US" w:eastAsia="zh-CN"/>
        </w:rPr>
        <w:t>- For CSI compression:</w:t>
      </w:r>
      <w:r>
        <w:rPr>
          <w:rFonts w:hint="eastAsia" w:ascii="Arial" w:hAnsi="Arial" w:eastAsia="等线" w:cs="Arial"/>
          <w:sz w:val="20"/>
          <w:szCs w:val="21"/>
          <w:lang w:val="en-US" w:eastAsia="zh-CN"/>
        </w:rPr>
        <w:t xml:space="preserve"> RAN1 indicates three types of data content, and the data size are about 10s of bits to ~ a few 1000bits even up to ~150K bits per data sample. RAN1 also notes that the data size is very depending on the configuration. </w:t>
      </w:r>
    </w:p>
    <w:p>
      <w:pPr>
        <w:pStyle w:val="8"/>
        <w:ind w:leftChars="100"/>
        <w:rPr>
          <w:rFonts w:hint="eastAsia" w:ascii="Arial" w:hAnsi="Arial" w:eastAsia="等线" w:cs="Arial"/>
          <w:sz w:val="20"/>
          <w:szCs w:val="21"/>
          <w:lang w:val="en-US" w:eastAsia="zh-CN"/>
        </w:rPr>
      </w:pPr>
      <w:r>
        <w:rPr>
          <w:rFonts w:hint="eastAsia" w:ascii="Arial" w:hAnsi="Arial" w:eastAsia="等线" w:cs="Arial"/>
          <w:b/>
          <w:bCs/>
          <w:sz w:val="20"/>
          <w:szCs w:val="21"/>
          <w:lang w:val="en-US" w:eastAsia="zh-CN"/>
        </w:rPr>
        <w:t xml:space="preserve">- For CSI prediction: </w:t>
      </w:r>
      <w:r>
        <w:rPr>
          <w:rFonts w:hint="eastAsia" w:ascii="Arial" w:hAnsi="Arial" w:eastAsia="等线" w:cs="Arial"/>
          <w:sz w:val="20"/>
          <w:szCs w:val="21"/>
          <w:lang w:val="en-US" w:eastAsia="zh-CN"/>
        </w:rPr>
        <w:t>One example based on companies</w:t>
      </w:r>
      <w:r>
        <w:rPr>
          <w:rFonts w:hint="default" w:ascii="Arial" w:hAnsi="Arial" w:eastAsia="等线" w:cs="Arial"/>
          <w:sz w:val="20"/>
          <w:szCs w:val="21"/>
          <w:lang w:val="en-US" w:eastAsia="zh-CN"/>
        </w:rPr>
        <w:t>’</w:t>
      </w:r>
      <w:r>
        <w:rPr>
          <w:rFonts w:hint="eastAsia" w:ascii="Arial" w:hAnsi="Arial" w:eastAsia="等线" w:cs="Arial"/>
          <w:sz w:val="20"/>
          <w:szCs w:val="21"/>
          <w:lang w:val="en-US" w:eastAsia="zh-CN"/>
        </w:rPr>
        <w:t xml:space="preserve"> evaluations is up to around 1.5Mbits, but the feasibility and necessity of the monitoring schemes listed in the table are under discussion.</w:t>
      </w:r>
    </w:p>
    <w:p>
      <w:pPr>
        <w:pStyle w:val="8"/>
        <w:ind w:leftChars="100"/>
        <w:rPr>
          <w:rFonts w:hint="eastAsia" w:ascii="Arial" w:hAnsi="Arial" w:eastAsia="等线" w:cs="Arial"/>
          <w:sz w:val="20"/>
          <w:szCs w:val="21"/>
          <w:lang w:val="en-US" w:eastAsia="zh-CN"/>
        </w:rPr>
      </w:pPr>
      <w:r>
        <w:rPr>
          <w:rFonts w:hint="eastAsia" w:ascii="Arial" w:hAnsi="Arial" w:eastAsia="等线" w:cs="Arial"/>
          <w:b/>
          <w:bCs/>
          <w:sz w:val="20"/>
          <w:szCs w:val="21"/>
          <w:lang w:val="en-US" w:eastAsia="zh-CN"/>
        </w:rPr>
        <w:t>- For Beam management:</w:t>
      </w:r>
      <w:r>
        <w:rPr>
          <w:rFonts w:hint="eastAsia" w:ascii="Arial" w:hAnsi="Arial" w:eastAsia="等线" w:cs="Arial"/>
          <w:sz w:val="20"/>
          <w:szCs w:val="21"/>
          <w:lang w:val="en-US" w:eastAsia="zh-CN"/>
        </w:rPr>
        <w:t xml:space="preserve"> The data content can be event occurrence, calculated performance metrics, L1-RSRP, beam ID, and the typical size would be 10s of bits to hundreds of bits.</w:t>
      </w:r>
    </w:p>
    <w:p>
      <w:pPr>
        <w:pStyle w:val="8"/>
        <w:ind w:leftChars="100"/>
        <w:rPr>
          <w:rFonts w:hint="default" w:ascii="Arial" w:hAnsi="Arial" w:eastAsia="等线" w:cs="Arial"/>
          <w:sz w:val="20"/>
          <w:szCs w:val="21"/>
          <w:lang w:val="en-US" w:eastAsia="zh-CN"/>
        </w:rPr>
      </w:pPr>
      <w:r>
        <w:rPr>
          <w:rFonts w:hint="eastAsia" w:ascii="Arial" w:hAnsi="Arial" w:eastAsia="等线" w:cs="Arial"/>
          <w:b/>
          <w:bCs/>
          <w:sz w:val="20"/>
          <w:szCs w:val="21"/>
          <w:lang w:val="en-US" w:eastAsia="zh-CN"/>
        </w:rPr>
        <w:t xml:space="preserve">- For positioning: </w:t>
      </w:r>
      <w:r>
        <w:rPr>
          <w:rFonts w:hint="eastAsia" w:ascii="Arial" w:hAnsi="Arial" w:eastAsia="等线" w:cs="Arial"/>
          <w:sz w:val="20"/>
          <w:szCs w:val="21"/>
          <w:lang w:val="en-US" w:eastAsia="zh-CN"/>
        </w:rPr>
        <w:t>The types of data content for model monitoring are still under RAN1 discussion.</w:t>
      </w:r>
    </w:p>
    <w:p>
      <w:pPr>
        <w:pStyle w:val="8"/>
        <w:jc w:val="both"/>
        <w:rPr>
          <w:rFonts w:hint="eastAsia" w:ascii="Arial" w:hAnsi="Arial" w:eastAsia="等线" w:cs="Arial"/>
          <w:b/>
          <w:bCs/>
          <w:sz w:val="20"/>
          <w:szCs w:val="21"/>
          <w:lang w:val="en-US" w:eastAsia="zh-CN"/>
        </w:rPr>
      </w:pPr>
      <w:r>
        <w:rPr>
          <w:rFonts w:hint="eastAsia" w:ascii="Arial" w:hAnsi="Arial" w:eastAsia="等线" w:cs="Arial"/>
          <w:b/>
          <w:bCs/>
          <w:sz w:val="20"/>
          <w:szCs w:val="21"/>
          <w:lang w:val="en-US" w:eastAsia="zh-CN"/>
        </w:rPr>
        <w:t>Observation 6: The typical data size for model monitoring per data sample would be about 10s of bits to a few 1000bits even ~150Kbits for CSI compression and beam management.</w:t>
      </w:r>
    </w:p>
    <w:p>
      <w:pPr>
        <w:pStyle w:val="8"/>
        <w:rPr>
          <w:rFonts w:hint="eastAsia" w:ascii="Arial" w:hAnsi="Arial" w:eastAsia="等线" w:cs="Arial"/>
          <w:b/>
          <w:bCs/>
          <w:sz w:val="20"/>
          <w:szCs w:val="21"/>
          <w:lang w:val="en-US" w:eastAsia="zh-CN"/>
        </w:rPr>
      </w:pPr>
      <w:r>
        <w:rPr>
          <w:rFonts w:hint="eastAsia" w:ascii="Arial" w:hAnsi="Arial" w:eastAsia="等线" w:cs="Arial"/>
          <w:b/>
          <w:bCs/>
          <w:sz w:val="20"/>
          <w:szCs w:val="21"/>
          <w:lang w:val="en-US" w:eastAsia="zh-CN"/>
        </w:rPr>
        <w:t>Observation 7: The typical data size for model monitoring per data sample would be up to around 1.5Mbits for CSI prediction.</w:t>
      </w:r>
    </w:p>
    <w:p>
      <w:pPr>
        <w:pStyle w:val="8"/>
        <w:rPr>
          <w:rFonts w:hint="default" w:ascii="Arial" w:hAnsi="Arial" w:eastAsia="等线" w:cs="Arial"/>
          <w:b/>
          <w:bCs/>
          <w:sz w:val="20"/>
          <w:szCs w:val="21"/>
          <w:lang w:val="en-US" w:eastAsia="zh-CN"/>
        </w:rPr>
      </w:pPr>
      <w:r>
        <w:rPr>
          <w:rFonts w:hint="eastAsia" w:ascii="Arial" w:hAnsi="Arial" w:eastAsia="等线" w:cs="Arial"/>
          <w:b/>
          <w:bCs/>
          <w:sz w:val="20"/>
          <w:szCs w:val="21"/>
          <w:lang w:val="en-US" w:eastAsia="zh-CN"/>
        </w:rPr>
        <w:t>Observation 8: The types of data content for model monitoring are still under RAN1 discussion.</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2"/>
              <w:spacing w:line="360" w:lineRule="auto"/>
              <w:ind w:left="0" w:leftChars="0" w:firstLine="0" w:firstLineChars="0"/>
              <w:jc w:val="both"/>
              <w:rPr>
                <w:rFonts w:hint="default" w:ascii="Arial" w:hAnsi="Arial" w:eastAsia="等线" w:cs="Arial"/>
                <w:b/>
                <w:bCs/>
                <w:sz w:val="16"/>
                <w:szCs w:val="16"/>
                <w:lang w:val="en-US" w:eastAsia="zh-CN"/>
              </w:rPr>
            </w:pPr>
            <w:r>
              <w:rPr>
                <w:rFonts w:hint="eastAsia" w:ascii="Arial" w:hAnsi="Arial" w:eastAsia="等线" w:cs="Arial"/>
                <w:b/>
                <w:bCs/>
                <w:sz w:val="16"/>
                <w:szCs w:val="16"/>
                <w:lang w:val="en-US" w:eastAsia="zh-CN"/>
              </w:rPr>
              <w:t>From RAN1 reply LS [4]:</w:t>
            </w:r>
          </w:p>
          <w:p>
            <w:pPr>
              <w:pStyle w:val="22"/>
              <w:spacing w:line="360" w:lineRule="auto"/>
              <w:ind w:left="0" w:leftChars="0" w:firstLine="0" w:firstLineChars="0"/>
              <w:jc w:val="both"/>
              <w:rPr>
                <w:rFonts w:hint="default" w:ascii="Arial" w:hAnsi="Arial" w:eastAsia="等线" w:cs="Arial"/>
                <w:b/>
                <w:bCs/>
                <w:sz w:val="16"/>
                <w:szCs w:val="16"/>
                <w:lang w:val="en-US" w:eastAsia="zh-CN"/>
              </w:rPr>
            </w:pPr>
            <w:r>
              <w:rPr>
                <w:rFonts w:hint="default" w:ascii="Arial" w:hAnsi="Arial" w:eastAsia="等线" w:cs="Arial"/>
                <w:b/>
                <w:bCs/>
                <w:sz w:val="16"/>
                <w:szCs w:val="16"/>
                <w:lang w:eastAsia="zh-CN"/>
              </w:rPr>
              <w:t>For CSI compression</w:t>
            </w:r>
            <w:r>
              <w:rPr>
                <w:rFonts w:hint="eastAsia" w:ascii="Arial" w:hAnsi="Arial" w:eastAsia="等线" w:cs="Arial"/>
                <w:b/>
                <w:bCs/>
                <w:sz w:val="16"/>
                <w:szCs w:val="16"/>
                <w:lang w:val="en-US" w:eastAsia="zh-CN"/>
              </w:rPr>
              <w:t>:</w:t>
            </w:r>
          </w:p>
          <w:tbl>
            <w:tblPr>
              <w:tblStyle w:val="13"/>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1699"/>
              <w:gridCol w:w="1894"/>
              <w:gridCol w:w="1705"/>
              <w:gridCol w:w="3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rPr>
                      <w:rFonts w:hint="default" w:ascii="Arial" w:hAnsi="Arial" w:cs="Arial"/>
                      <w:b/>
                      <w:bCs/>
                      <w:sz w:val="16"/>
                      <w:szCs w:val="18"/>
                    </w:rPr>
                  </w:pPr>
                  <w:r>
                    <w:rPr>
                      <w:rFonts w:hint="default" w:ascii="Arial" w:hAnsi="Arial" w:cs="Arial"/>
                      <w:b/>
                      <w:bCs/>
                      <w:sz w:val="16"/>
                      <w:szCs w:val="18"/>
                    </w:rPr>
                    <w:t>LCM purpose</w:t>
                  </w:r>
                </w:p>
              </w:tc>
              <w:tc>
                <w:tcPr>
                  <w:tcW w:w="1699"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rPr>
                      <w:rFonts w:hint="default" w:ascii="Arial" w:hAnsi="Arial" w:cs="Arial"/>
                      <w:b/>
                      <w:bCs/>
                      <w:sz w:val="16"/>
                      <w:szCs w:val="18"/>
                    </w:rPr>
                  </w:pPr>
                  <w:r>
                    <w:rPr>
                      <w:rFonts w:hint="default" w:ascii="Arial" w:hAnsi="Arial" w:cs="Arial"/>
                      <w:b/>
                      <w:bCs/>
                      <w:sz w:val="16"/>
                      <w:szCs w:val="18"/>
                    </w:rPr>
                    <w:t>Data content</w:t>
                  </w:r>
                </w:p>
              </w:tc>
              <w:tc>
                <w:tcPr>
                  <w:tcW w:w="1894"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rPr>
                      <w:rFonts w:hint="default" w:ascii="Arial" w:hAnsi="Arial" w:cs="Arial"/>
                      <w:b/>
                      <w:bCs/>
                      <w:sz w:val="16"/>
                      <w:szCs w:val="18"/>
                    </w:rPr>
                  </w:pPr>
                  <w:r>
                    <w:rPr>
                      <w:rFonts w:hint="default" w:ascii="Arial" w:hAnsi="Arial" w:cs="Arial"/>
                      <w:b/>
                      <w:bCs/>
                      <w:sz w:val="16"/>
                      <w:szCs w:val="18"/>
                    </w:rPr>
                    <w:t>Typical data size (per data sample)</w:t>
                  </w:r>
                </w:p>
              </w:tc>
              <w:tc>
                <w:tcPr>
                  <w:tcW w:w="1705"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rPr>
                      <w:rFonts w:hint="default" w:ascii="Arial" w:hAnsi="Arial" w:cs="Arial"/>
                      <w:b/>
                      <w:bCs/>
                      <w:sz w:val="16"/>
                      <w:szCs w:val="18"/>
                    </w:rPr>
                  </w:pPr>
                  <w:r>
                    <w:rPr>
                      <w:rFonts w:hint="default" w:ascii="Arial" w:hAnsi="Arial" w:cs="Arial"/>
                      <w:b/>
                      <w:bCs/>
                      <w:sz w:val="16"/>
                      <w:szCs w:val="18"/>
                    </w:rPr>
                    <w:t>Typical latency requirement</w:t>
                  </w:r>
                </w:p>
              </w:tc>
              <w:tc>
                <w:tcPr>
                  <w:tcW w:w="3191"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rPr>
                      <w:rFonts w:hint="default" w:ascii="Arial" w:hAnsi="Arial" w:cs="Arial"/>
                      <w:b/>
                      <w:bCs/>
                      <w:sz w:val="16"/>
                      <w:szCs w:val="18"/>
                    </w:rPr>
                  </w:pPr>
                  <w:r>
                    <w:rPr>
                      <w:rFonts w:hint="default" w:ascii="Arial" w:hAnsi="Arial" w:cs="Arial"/>
                      <w:b/>
                      <w:bCs/>
                      <w:sz w:val="16"/>
                      <w:szCs w:val="18"/>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trPr>
              <w:tc>
                <w:tcPr>
                  <w:tcW w:w="1129" w:type="dxa"/>
                  <w:vMerge w:val="restart"/>
                  <w:tcBorders>
                    <w:top w:val="single" w:color="auto" w:sz="4" w:space="0"/>
                    <w:left w:val="single" w:color="auto" w:sz="4" w:space="0"/>
                    <w:right w:val="single" w:color="auto" w:sz="4" w:space="0"/>
                  </w:tcBorders>
                  <w:shd w:val="clear" w:color="auto" w:fill="auto"/>
                  <w:vAlign w:val="center"/>
                </w:tcPr>
                <w:p>
                  <w:pPr>
                    <w:snapToGrid w:val="0"/>
                    <w:spacing w:before="100" w:beforeAutospacing="1" w:after="120"/>
                    <w:rPr>
                      <w:rFonts w:hint="default" w:ascii="Arial" w:hAnsi="Arial" w:cs="Arial"/>
                      <w:sz w:val="16"/>
                      <w:szCs w:val="18"/>
                    </w:rPr>
                  </w:pPr>
                  <w:r>
                    <w:rPr>
                      <w:rFonts w:hint="default" w:ascii="Arial" w:hAnsi="Arial" w:cs="Arial"/>
                      <w:sz w:val="16"/>
                      <w:szCs w:val="18"/>
                    </w:rPr>
                    <w:t>Monitoring</w:t>
                  </w:r>
                </w:p>
              </w:tc>
              <w:tc>
                <w:tcPr>
                  <w:tcW w:w="1699" w:type="dxa"/>
                  <w:tcBorders>
                    <w:top w:val="single" w:color="auto" w:sz="4" w:space="0"/>
                    <w:left w:val="single" w:color="auto" w:sz="4" w:space="0"/>
                    <w:right w:val="single" w:color="auto" w:sz="4" w:space="0"/>
                  </w:tcBorders>
                  <w:shd w:val="clear" w:color="auto" w:fill="auto"/>
                  <w:vAlign w:val="center"/>
                </w:tcPr>
                <w:p>
                  <w:pPr>
                    <w:snapToGrid w:val="0"/>
                    <w:spacing w:before="100" w:beforeAutospacing="1" w:after="120"/>
                    <w:rPr>
                      <w:rFonts w:hint="default" w:ascii="Arial" w:hAnsi="Arial" w:cs="Arial"/>
                      <w:sz w:val="16"/>
                      <w:szCs w:val="18"/>
                    </w:rPr>
                  </w:pPr>
                  <w:r>
                    <w:rPr>
                      <w:rFonts w:hint="default" w:ascii="Arial" w:hAnsi="Arial" w:cs="Arial"/>
                      <w:sz w:val="16"/>
                      <w:szCs w:val="18"/>
                    </w:rPr>
                    <w:t>Reconstructed CSI from NW to UE</w:t>
                  </w:r>
                </w:p>
                <w:p>
                  <w:pPr>
                    <w:snapToGrid w:val="0"/>
                    <w:spacing w:before="100" w:beforeAutospacing="1" w:after="120"/>
                    <w:rPr>
                      <w:rFonts w:hint="default" w:ascii="Arial" w:hAnsi="Arial" w:cs="Arial"/>
                      <w:sz w:val="16"/>
                      <w:szCs w:val="18"/>
                    </w:rPr>
                  </w:pPr>
                  <w:r>
                    <w:rPr>
                      <w:rFonts w:hint="default" w:ascii="Arial" w:hAnsi="Arial" w:cs="Arial"/>
                      <w:sz w:val="16"/>
                      <w:szCs w:val="18"/>
                    </w:rPr>
                    <w:t>See Note 6</w:t>
                  </w:r>
                </w:p>
              </w:tc>
              <w:tc>
                <w:tcPr>
                  <w:tcW w:w="1894" w:type="dxa"/>
                  <w:tcBorders>
                    <w:top w:val="single" w:color="auto" w:sz="4" w:space="0"/>
                    <w:left w:val="single" w:color="auto" w:sz="4" w:space="0"/>
                    <w:right w:val="single" w:color="auto" w:sz="4" w:space="0"/>
                  </w:tcBorders>
                  <w:shd w:val="clear" w:color="auto" w:fill="auto"/>
                  <w:vAlign w:val="center"/>
                </w:tcPr>
                <w:p>
                  <w:pPr>
                    <w:snapToGrid w:val="0"/>
                    <w:spacing w:before="100" w:beforeAutospacing="1" w:after="120"/>
                    <w:rPr>
                      <w:rFonts w:hint="default" w:ascii="Arial" w:hAnsi="Arial" w:cs="Arial"/>
                      <w:sz w:val="16"/>
                      <w:szCs w:val="18"/>
                    </w:rPr>
                  </w:pPr>
                  <w:r>
                    <w:rPr>
                      <w:rFonts w:hint="default" w:ascii="Arial" w:hAnsi="Arial" w:cs="Arial"/>
                      <w:sz w:val="16"/>
                      <w:szCs w:val="18"/>
                    </w:rPr>
                    <w:t>No agreement; [expected to be similar to target CSI for monitoring]</w:t>
                  </w:r>
                </w:p>
              </w:tc>
              <w:tc>
                <w:tcPr>
                  <w:tcW w:w="1705" w:type="dxa"/>
                  <w:tcBorders>
                    <w:top w:val="single" w:color="auto" w:sz="4" w:space="0"/>
                    <w:left w:val="single" w:color="auto" w:sz="4" w:space="0"/>
                    <w:right w:val="single" w:color="auto" w:sz="4" w:space="0"/>
                  </w:tcBorders>
                  <w:shd w:val="clear" w:color="auto" w:fill="auto"/>
                  <w:vAlign w:val="center"/>
                </w:tcPr>
                <w:p>
                  <w:pPr>
                    <w:snapToGrid w:val="0"/>
                    <w:spacing w:before="100" w:beforeAutospacing="1" w:after="120"/>
                    <w:rPr>
                      <w:rFonts w:hint="default" w:ascii="Arial" w:hAnsi="Arial" w:cs="Arial"/>
                      <w:sz w:val="16"/>
                      <w:szCs w:val="18"/>
                    </w:rPr>
                  </w:pPr>
                  <w:r>
                    <w:rPr>
                      <w:rFonts w:hint="default" w:ascii="Arial" w:hAnsi="Arial" w:cs="Arial"/>
                      <w:sz w:val="16"/>
                      <w:szCs w:val="18"/>
                    </w:rPr>
                    <w:t>Near-real-time</w:t>
                  </w:r>
                </w:p>
              </w:tc>
              <w:tc>
                <w:tcPr>
                  <w:tcW w:w="3191" w:type="dxa"/>
                  <w:tcBorders>
                    <w:top w:val="single" w:color="auto" w:sz="4" w:space="0"/>
                    <w:left w:val="single" w:color="auto" w:sz="4" w:space="0"/>
                    <w:right w:val="single" w:color="auto" w:sz="4" w:space="0"/>
                  </w:tcBorders>
                  <w:shd w:val="clear" w:color="auto" w:fill="auto"/>
                  <w:vAlign w:val="center"/>
                </w:tcPr>
                <w:p>
                  <w:pPr>
                    <w:snapToGrid w:val="0"/>
                    <w:spacing w:before="100" w:beforeAutospacing="1" w:after="120"/>
                    <w:rPr>
                      <w:rFonts w:hint="default" w:ascii="Arial" w:hAnsi="Arial" w:cs="Arial"/>
                      <w:sz w:val="16"/>
                      <w:szCs w:val="18"/>
                    </w:rPr>
                  </w:pPr>
                  <w:r>
                    <w:rPr>
                      <w:rFonts w:hint="default" w:ascii="Arial" w:hAnsi="Arial" w:cs="Arial"/>
                      <w:sz w:val="16"/>
                      <w:szCs w:val="18"/>
                    </w:rPr>
                    <w:t>This is called “UE-sided monitoring” in RAN1.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trPr>
              <w:tc>
                <w:tcPr>
                  <w:tcW w:w="1129" w:type="dxa"/>
                  <w:vMerge w:val="continue"/>
                  <w:tcBorders>
                    <w:left w:val="single" w:color="auto" w:sz="4" w:space="0"/>
                    <w:right w:val="single" w:color="auto" w:sz="4" w:space="0"/>
                  </w:tcBorders>
                  <w:shd w:val="clear" w:color="auto" w:fill="auto"/>
                  <w:vAlign w:val="center"/>
                </w:tcPr>
                <w:p>
                  <w:pPr>
                    <w:snapToGrid w:val="0"/>
                    <w:spacing w:before="100" w:beforeAutospacing="1" w:after="120"/>
                    <w:rPr>
                      <w:rFonts w:hint="default" w:ascii="Arial" w:hAnsi="Arial" w:cs="Arial"/>
                      <w:sz w:val="16"/>
                      <w:szCs w:val="18"/>
                    </w:rPr>
                  </w:pPr>
                </w:p>
              </w:tc>
              <w:tc>
                <w:tcPr>
                  <w:tcW w:w="1699"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rPr>
                      <w:rFonts w:hint="default" w:ascii="Arial" w:hAnsi="Arial" w:cs="Arial"/>
                      <w:sz w:val="16"/>
                      <w:szCs w:val="18"/>
                    </w:rPr>
                  </w:pPr>
                  <w:r>
                    <w:rPr>
                      <w:rFonts w:hint="default" w:ascii="Arial" w:hAnsi="Arial" w:cs="Arial"/>
                      <w:sz w:val="16"/>
                      <w:szCs w:val="18"/>
                    </w:rPr>
                    <w:t>Calculated performance metrics</w:t>
                  </w:r>
                </w:p>
                <w:p>
                  <w:pPr>
                    <w:snapToGrid w:val="0"/>
                    <w:spacing w:before="100" w:beforeAutospacing="1" w:after="120"/>
                    <w:rPr>
                      <w:rFonts w:hint="default" w:ascii="Arial" w:hAnsi="Arial" w:cs="Arial"/>
                      <w:sz w:val="16"/>
                      <w:szCs w:val="18"/>
                    </w:rPr>
                  </w:pPr>
                  <w:r>
                    <w:rPr>
                      <w:rFonts w:hint="default" w:ascii="Arial" w:hAnsi="Arial" w:cs="Arial"/>
                      <w:sz w:val="16"/>
                      <w:szCs w:val="18"/>
                    </w:rPr>
                    <w:t>See Note 6</w:t>
                  </w:r>
                </w:p>
              </w:tc>
              <w:tc>
                <w:tcPr>
                  <w:tcW w:w="1894"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rPr>
                      <w:rFonts w:hint="default" w:ascii="Arial" w:hAnsi="Arial" w:cs="Arial"/>
                      <w:sz w:val="16"/>
                      <w:szCs w:val="18"/>
                    </w:rPr>
                  </w:pPr>
                  <w:r>
                    <w:rPr>
                      <w:rFonts w:hint="default" w:ascii="Arial" w:hAnsi="Arial" w:cs="Arial"/>
                      <w:sz w:val="16"/>
                      <w:szCs w:val="18"/>
                    </w:rPr>
                    <w:t>See Note 4</w:t>
                  </w:r>
                </w:p>
              </w:tc>
              <w:tc>
                <w:tcPr>
                  <w:tcW w:w="1705"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rPr>
                      <w:rFonts w:hint="default" w:ascii="Arial" w:hAnsi="Arial" w:cs="Arial"/>
                      <w:sz w:val="16"/>
                      <w:szCs w:val="18"/>
                    </w:rPr>
                  </w:pPr>
                  <w:r>
                    <w:rPr>
                      <w:rFonts w:hint="default" w:ascii="Arial" w:hAnsi="Arial" w:cs="Arial"/>
                      <w:sz w:val="16"/>
                      <w:szCs w:val="18"/>
                    </w:rPr>
                    <w:t>Near-real-time</w:t>
                  </w:r>
                </w:p>
              </w:tc>
              <w:tc>
                <w:tcPr>
                  <w:tcW w:w="3191"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rPr>
                      <w:rFonts w:hint="default" w:ascii="Arial" w:hAnsi="Arial" w:cs="Arial"/>
                      <w:sz w:val="16"/>
                      <w:szCs w:val="18"/>
                    </w:rPr>
                  </w:pPr>
                  <w:r>
                    <w:rPr>
                      <w:rFonts w:hint="default" w:ascii="Arial" w:hAnsi="Arial" w:cs="Arial"/>
                      <w:sz w:val="16"/>
                      <w:szCs w:val="18"/>
                    </w:rPr>
                    <w:t>This is called “UE-sided monitoring” in RAN1.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1129" w:type="dxa"/>
                  <w:vMerge w:val="continue"/>
                  <w:tcBorders>
                    <w:left w:val="single" w:color="auto" w:sz="4" w:space="0"/>
                    <w:bottom w:val="single" w:color="auto" w:sz="4" w:space="0"/>
                    <w:right w:val="single" w:color="auto" w:sz="4" w:space="0"/>
                  </w:tcBorders>
                  <w:shd w:val="clear" w:color="auto" w:fill="auto"/>
                  <w:vAlign w:val="center"/>
                </w:tcPr>
                <w:p>
                  <w:pPr>
                    <w:snapToGrid w:val="0"/>
                    <w:spacing w:before="100" w:beforeAutospacing="1" w:after="120"/>
                    <w:rPr>
                      <w:rFonts w:hint="default" w:ascii="Arial" w:hAnsi="Arial" w:cs="Arial"/>
                      <w:sz w:val="16"/>
                      <w:szCs w:val="18"/>
                    </w:rPr>
                  </w:pPr>
                </w:p>
              </w:tc>
              <w:tc>
                <w:tcPr>
                  <w:tcW w:w="1699"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rPr>
                      <w:rFonts w:hint="default" w:ascii="Arial" w:hAnsi="Arial" w:cs="Arial"/>
                      <w:sz w:val="16"/>
                      <w:szCs w:val="18"/>
                    </w:rPr>
                  </w:pPr>
                  <w:r>
                    <w:rPr>
                      <w:rFonts w:hint="default" w:ascii="Arial" w:hAnsi="Arial" w:cs="Arial"/>
                      <w:sz w:val="16"/>
                      <w:szCs w:val="18"/>
                    </w:rPr>
                    <w:t>Target CSI</w:t>
                  </w:r>
                </w:p>
                <w:p>
                  <w:pPr>
                    <w:snapToGrid w:val="0"/>
                    <w:spacing w:before="100" w:beforeAutospacing="1" w:after="120"/>
                    <w:rPr>
                      <w:rFonts w:hint="default" w:ascii="Arial" w:hAnsi="Arial" w:cs="Arial"/>
                      <w:sz w:val="16"/>
                      <w:szCs w:val="18"/>
                    </w:rPr>
                  </w:pPr>
                  <w:r>
                    <w:rPr>
                      <w:rFonts w:hint="default" w:ascii="Arial" w:hAnsi="Arial" w:cs="Arial"/>
                      <w:sz w:val="16"/>
                      <w:szCs w:val="18"/>
                    </w:rPr>
                    <w:t>See Note 6</w:t>
                  </w:r>
                </w:p>
              </w:tc>
              <w:tc>
                <w:tcPr>
                  <w:tcW w:w="1894"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rPr>
                      <w:rFonts w:hint="default" w:ascii="Arial" w:hAnsi="Arial" w:cs="Arial"/>
                      <w:sz w:val="16"/>
                      <w:szCs w:val="18"/>
                    </w:rPr>
                  </w:pPr>
                  <w:r>
                    <w:rPr>
                      <w:rFonts w:hint="default" w:ascii="Arial" w:hAnsi="Arial" w:cs="Arial"/>
                      <w:sz w:val="16"/>
                      <w:szCs w:val="18"/>
                    </w:rPr>
                    <w:t>See Notes 1, 2</w:t>
                  </w:r>
                </w:p>
              </w:tc>
              <w:tc>
                <w:tcPr>
                  <w:tcW w:w="1705"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rPr>
                      <w:rFonts w:hint="default" w:ascii="Arial" w:hAnsi="Arial" w:cs="Arial"/>
                      <w:sz w:val="16"/>
                      <w:szCs w:val="18"/>
                    </w:rPr>
                  </w:pPr>
                  <w:r>
                    <w:rPr>
                      <w:rFonts w:hint="default" w:ascii="Arial" w:hAnsi="Arial" w:cs="Arial"/>
                      <w:sz w:val="16"/>
                      <w:szCs w:val="18"/>
                    </w:rPr>
                    <w:t>Near-real-time</w:t>
                  </w:r>
                </w:p>
              </w:tc>
              <w:tc>
                <w:tcPr>
                  <w:tcW w:w="3191"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rPr>
                      <w:rFonts w:hint="default" w:ascii="Arial" w:hAnsi="Arial" w:cs="Arial"/>
                      <w:sz w:val="16"/>
                      <w:szCs w:val="18"/>
                    </w:rPr>
                  </w:pPr>
                  <w:r>
                    <w:rPr>
                      <w:rFonts w:hint="default" w:ascii="Arial" w:hAnsi="Arial" w:cs="Arial"/>
                      <w:sz w:val="16"/>
                      <w:szCs w:val="18"/>
                    </w:rPr>
                    <w:t>This is called “NW-sided monitoring” in RAN1.</w:t>
                  </w:r>
                </w:p>
              </w:tc>
            </w:tr>
          </w:tbl>
          <w:p>
            <w:pPr>
              <w:rPr>
                <w:rFonts w:hint="default" w:ascii="Arial" w:hAnsi="Arial" w:cs="Arial"/>
                <w:i/>
                <w:iCs/>
                <w:sz w:val="16"/>
                <w:szCs w:val="18"/>
              </w:rPr>
            </w:pPr>
            <w:r>
              <w:rPr>
                <w:rFonts w:hint="default" w:ascii="Arial" w:hAnsi="Arial" w:cs="Arial"/>
                <w:i/>
                <w:iCs/>
                <w:sz w:val="16"/>
                <w:szCs w:val="18"/>
              </w:rPr>
              <w:t>Note 1: Target CSI may be precoding matrix or channel matrix. RAN1’s reply for data size is based on precoding Matrix which has been more widely evaluated than channel matrix.</w:t>
            </w:r>
          </w:p>
          <w:p>
            <w:pPr>
              <w:rPr>
                <w:rFonts w:hint="default" w:ascii="Arial" w:hAnsi="Arial" w:cs="Arial"/>
                <w:i/>
                <w:iCs/>
                <w:sz w:val="16"/>
                <w:szCs w:val="18"/>
              </w:rPr>
            </w:pPr>
            <w:r>
              <w:rPr>
                <w:rFonts w:hint="default" w:ascii="Arial" w:hAnsi="Arial" w:cs="Arial"/>
                <w:i/>
                <w:iCs/>
                <w:sz w:val="16"/>
                <w:szCs w:val="18"/>
              </w:rPr>
              <w:t xml:space="preserve">Note 2: Data size for target CSI depends on the format. There is no agreement on the format or necessary precision of the target CSI. Some examples based on companies’ evaluations are: </w:t>
            </w:r>
            <w:r>
              <w:rPr>
                <w:rFonts w:hint="default" w:ascii="Arial" w:hAnsi="Arial" w:cs="Arial"/>
                <w:i/>
                <w:iCs/>
                <w:sz w:val="16"/>
                <w:szCs w:val="18"/>
                <w:highlight w:val="yellow"/>
              </w:rPr>
              <w:t>eType-II format (up to ~1000 bits), eType-II-like format (~ a few 1000 bits), and float32 format (up to ~ 150K bits)</w:t>
            </w:r>
            <w:r>
              <w:rPr>
                <w:rFonts w:hint="default" w:ascii="Arial" w:hAnsi="Arial" w:cs="Arial"/>
                <w:i/>
                <w:iCs/>
                <w:sz w:val="16"/>
                <w:szCs w:val="18"/>
              </w:rPr>
              <w:t xml:space="preserve">. The data size may also vary depending on the configuration, and the captured value indicates the order of magnitude of the typical data size per sample as a guideline. </w:t>
            </w:r>
          </w:p>
          <w:p>
            <w:pPr>
              <w:rPr>
                <w:rStyle w:val="32"/>
                <w:rFonts w:hint="default" w:ascii="Arial" w:hAnsi="Arial" w:cs="Arial"/>
                <w:i/>
                <w:iCs/>
                <w:sz w:val="16"/>
                <w:szCs w:val="18"/>
              </w:rPr>
            </w:pPr>
            <w:r>
              <w:rPr>
                <w:rFonts w:hint="default" w:ascii="Arial" w:hAnsi="Arial" w:cs="Arial"/>
                <w:i/>
                <w:iCs/>
                <w:sz w:val="16"/>
                <w:szCs w:val="18"/>
              </w:rPr>
              <w:t xml:space="preserve">Note 4: There is no agreement on the exact metric or reporting format. </w:t>
            </w:r>
            <w:r>
              <w:rPr>
                <w:rStyle w:val="32"/>
                <w:rFonts w:hint="default" w:ascii="Arial" w:hAnsi="Arial" w:cs="Arial"/>
                <w:i/>
                <w:iCs/>
                <w:sz w:val="16"/>
                <w:szCs w:val="18"/>
              </w:rPr>
              <w:t xml:space="preserve">An example based on companies’ evaluations is: </w:t>
            </w:r>
            <w:r>
              <w:rPr>
                <w:rStyle w:val="32"/>
                <w:rFonts w:hint="default" w:ascii="Arial" w:hAnsi="Arial" w:cs="Arial"/>
                <w:i/>
                <w:iCs/>
                <w:sz w:val="16"/>
                <w:szCs w:val="18"/>
                <w:highlight w:val="yellow"/>
              </w:rPr>
              <w:t>SGCS (10s of bits)</w:t>
            </w:r>
          </w:p>
          <w:p>
            <w:pPr>
              <w:pStyle w:val="8"/>
              <w:rPr>
                <w:rFonts w:hint="default" w:ascii="Arial" w:hAnsi="Arial" w:cs="Arial"/>
                <w:i/>
                <w:iCs/>
                <w:sz w:val="16"/>
                <w:szCs w:val="18"/>
              </w:rPr>
            </w:pPr>
            <w:r>
              <w:rPr>
                <w:rStyle w:val="32"/>
                <w:rFonts w:hint="default" w:ascii="Arial" w:hAnsi="Arial" w:cs="Arial"/>
                <w:i/>
                <w:iCs/>
                <w:sz w:val="16"/>
                <w:szCs w:val="18"/>
              </w:rPr>
              <w:t xml:space="preserve">Note 6: </w:t>
            </w:r>
            <w:r>
              <w:rPr>
                <w:rFonts w:hint="default" w:ascii="Arial" w:hAnsi="Arial" w:cs="Arial"/>
                <w:i/>
                <w:iCs/>
                <w:sz w:val="16"/>
                <w:szCs w:val="18"/>
              </w:rPr>
              <w:t>Feasibility and necessity of the monitoring schemes listed in the table are under discussion</w:t>
            </w:r>
          </w:p>
          <w:p>
            <w:pPr>
              <w:pStyle w:val="22"/>
              <w:spacing w:line="360" w:lineRule="auto"/>
              <w:ind w:left="0" w:leftChars="0" w:firstLine="0" w:firstLineChars="0"/>
              <w:jc w:val="both"/>
              <w:rPr>
                <w:rFonts w:hint="default" w:ascii="Arial" w:hAnsi="Arial" w:eastAsia="等线" w:cs="Arial"/>
                <w:b/>
                <w:bCs/>
                <w:sz w:val="16"/>
                <w:szCs w:val="16"/>
                <w:lang w:eastAsia="zh-CN"/>
              </w:rPr>
            </w:pPr>
          </w:p>
          <w:p>
            <w:pPr>
              <w:pStyle w:val="22"/>
              <w:spacing w:line="360" w:lineRule="auto"/>
              <w:ind w:left="0" w:leftChars="0" w:firstLine="0" w:firstLineChars="0"/>
              <w:jc w:val="both"/>
              <w:rPr>
                <w:rFonts w:hint="default" w:ascii="Arial" w:hAnsi="Arial" w:eastAsia="等线" w:cs="Arial"/>
                <w:b/>
                <w:bCs/>
                <w:sz w:val="16"/>
                <w:szCs w:val="16"/>
                <w:lang w:val="en-US" w:eastAsia="zh-CN"/>
              </w:rPr>
            </w:pPr>
            <w:r>
              <w:rPr>
                <w:rFonts w:hint="default" w:ascii="Arial" w:hAnsi="Arial" w:eastAsia="等线" w:cs="Arial"/>
                <w:b/>
                <w:bCs/>
                <w:sz w:val="16"/>
                <w:szCs w:val="16"/>
                <w:lang w:eastAsia="zh-CN"/>
              </w:rPr>
              <w:t>For CSI prediction at UE side</w:t>
            </w:r>
            <w:r>
              <w:rPr>
                <w:rFonts w:hint="eastAsia" w:ascii="Arial" w:hAnsi="Arial" w:eastAsia="等线" w:cs="Arial"/>
                <w:b/>
                <w:bCs/>
                <w:sz w:val="16"/>
                <w:szCs w:val="16"/>
                <w:lang w:val="en-US" w:eastAsia="zh-CN"/>
              </w:rPr>
              <w:t>:</w:t>
            </w:r>
          </w:p>
          <w:tbl>
            <w:tblPr>
              <w:tblStyle w:val="13"/>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7"/>
              <w:gridCol w:w="2520"/>
              <w:gridCol w:w="1841"/>
              <w:gridCol w:w="1665"/>
              <w:gridCol w:w="2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157" w:type="dxa"/>
                  <w:shd w:val="clear" w:color="auto" w:fill="auto"/>
                  <w:vAlign w:val="center"/>
                </w:tcPr>
                <w:p>
                  <w:pPr>
                    <w:snapToGrid w:val="0"/>
                    <w:spacing w:before="100" w:beforeAutospacing="1" w:after="120"/>
                    <w:rPr>
                      <w:rFonts w:hint="default" w:ascii="Arial" w:hAnsi="Arial" w:cs="Arial"/>
                      <w:b/>
                      <w:bCs/>
                      <w:sz w:val="16"/>
                      <w:szCs w:val="18"/>
                    </w:rPr>
                  </w:pPr>
                  <w:r>
                    <w:rPr>
                      <w:rFonts w:hint="default" w:ascii="Arial" w:hAnsi="Arial" w:cs="Arial"/>
                      <w:b/>
                      <w:bCs/>
                      <w:sz w:val="16"/>
                      <w:szCs w:val="18"/>
                    </w:rPr>
                    <w:t>LCM purpose</w:t>
                  </w:r>
                </w:p>
              </w:tc>
              <w:tc>
                <w:tcPr>
                  <w:tcW w:w="2520" w:type="dxa"/>
                  <w:shd w:val="clear" w:color="auto" w:fill="auto"/>
                  <w:vAlign w:val="center"/>
                </w:tcPr>
                <w:p>
                  <w:pPr>
                    <w:snapToGrid w:val="0"/>
                    <w:spacing w:before="100" w:beforeAutospacing="1" w:after="120"/>
                    <w:rPr>
                      <w:rFonts w:hint="default" w:ascii="Arial" w:hAnsi="Arial" w:cs="Arial"/>
                      <w:b/>
                      <w:bCs/>
                      <w:sz w:val="16"/>
                      <w:szCs w:val="18"/>
                    </w:rPr>
                  </w:pPr>
                  <w:r>
                    <w:rPr>
                      <w:rFonts w:hint="default" w:ascii="Arial" w:hAnsi="Arial" w:cs="Arial"/>
                      <w:b/>
                      <w:bCs/>
                      <w:sz w:val="16"/>
                      <w:szCs w:val="18"/>
                    </w:rPr>
                    <w:t>Data content</w:t>
                  </w:r>
                </w:p>
              </w:tc>
              <w:tc>
                <w:tcPr>
                  <w:tcW w:w="1841" w:type="dxa"/>
                  <w:shd w:val="clear" w:color="auto" w:fill="auto"/>
                  <w:vAlign w:val="center"/>
                </w:tcPr>
                <w:p>
                  <w:pPr>
                    <w:snapToGrid w:val="0"/>
                    <w:spacing w:before="100" w:beforeAutospacing="1" w:after="120"/>
                    <w:rPr>
                      <w:rFonts w:hint="default" w:ascii="Arial" w:hAnsi="Arial" w:cs="Arial"/>
                      <w:b/>
                      <w:bCs/>
                      <w:sz w:val="16"/>
                      <w:szCs w:val="18"/>
                    </w:rPr>
                  </w:pPr>
                  <w:r>
                    <w:rPr>
                      <w:rFonts w:hint="default" w:ascii="Arial" w:hAnsi="Arial" w:cs="Arial"/>
                      <w:b/>
                      <w:bCs/>
                      <w:sz w:val="16"/>
                      <w:szCs w:val="18"/>
                    </w:rPr>
                    <w:t>Typical data size (per data sample)</w:t>
                  </w:r>
                </w:p>
              </w:tc>
              <w:tc>
                <w:tcPr>
                  <w:tcW w:w="1665" w:type="dxa"/>
                  <w:shd w:val="clear" w:color="auto" w:fill="auto"/>
                  <w:vAlign w:val="center"/>
                </w:tcPr>
                <w:p>
                  <w:pPr>
                    <w:snapToGrid w:val="0"/>
                    <w:spacing w:before="100" w:beforeAutospacing="1" w:after="120"/>
                    <w:rPr>
                      <w:rFonts w:hint="default" w:ascii="Arial" w:hAnsi="Arial" w:cs="Arial"/>
                      <w:b/>
                      <w:bCs/>
                      <w:sz w:val="16"/>
                      <w:szCs w:val="18"/>
                    </w:rPr>
                  </w:pPr>
                  <w:r>
                    <w:rPr>
                      <w:rFonts w:hint="default" w:ascii="Arial" w:hAnsi="Arial" w:cs="Arial"/>
                      <w:b/>
                      <w:bCs/>
                      <w:sz w:val="16"/>
                      <w:szCs w:val="18"/>
                    </w:rPr>
                    <w:t>Typical latency requirement</w:t>
                  </w:r>
                </w:p>
              </w:tc>
              <w:tc>
                <w:tcPr>
                  <w:tcW w:w="2455" w:type="dxa"/>
                  <w:shd w:val="clear" w:color="auto" w:fill="auto"/>
                  <w:vAlign w:val="center"/>
                </w:tcPr>
                <w:p>
                  <w:pPr>
                    <w:snapToGrid w:val="0"/>
                    <w:spacing w:before="100" w:beforeAutospacing="1" w:after="120"/>
                    <w:rPr>
                      <w:rFonts w:hint="default" w:ascii="Arial" w:hAnsi="Arial" w:cs="Arial"/>
                      <w:b/>
                      <w:bCs/>
                      <w:sz w:val="16"/>
                      <w:szCs w:val="18"/>
                    </w:rPr>
                  </w:pPr>
                  <w:r>
                    <w:rPr>
                      <w:rFonts w:hint="default" w:ascii="Arial" w:hAnsi="Arial" w:cs="Arial"/>
                      <w:b/>
                      <w:bCs/>
                      <w:sz w:val="16"/>
                      <w:szCs w:val="18"/>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trPr>
              <w:tc>
                <w:tcPr>
                  <w:tcW w:w="1157" w:type="dxa"/>
                  <w:vMerge w:val="restart"/>
                  <w:shd w:val="clear" w:color="auto" w:fill="auto"/>
                  <w:vAlign w:val="center"/>
                </w:tcPr>
                <w:p>
                  <w:pPr>
                    <w:snapToGrid w:val="0"/>
                    <w:spacing w:before="100" w:beforeAutospacing="1" w:after="120"/>
                    <w:rPr>
                      <w:rFonts w:hint="default" w:ascii="Arial" w:hAnsi="Arial" w:cs="Arial"/>
                      <w:sz w:val="16"/>
                      <w:szCs w:val="18"/>
                    </w:rPr>
                  </w:pPr>
                  <w:r>
                    <w:rPr>
                      <w:rFonts w:hint="default" w:ascii="Arial" w:hAnsi="Arial" w:cs="Arial"/>
                      <w:sz w:val="16"/>
                      <w:szCs w:val="18"/>
                    </w:rPr>
                    <w:t>Monitoring</w:t>
                  </w:r>
                </w:p>
              </w:tc>
              <w:tc>
                <w:tcPr>
                  <w:tcW w:w="2520" w:type="dxa"/>
                  <w:shd w:val="clear" w:color="auto" w:fill="auto"/>
                  <w:vAlign w:val="center"/>
                </w:tcPr>
                <w:p>
                  <w:pPr>
                    <w:snapToGrid w:val="0"/>
                    <w:spacing w:before="100" w:beforeAutospacing="1" w:after="120"/>
                    <w:rPr>
                      <w:rFonts w:hint="default" w:ascii="Arial" w:hAnsi="Arial" w:cs="Arial"/>
                      <w:sz w:val="16"/>
                      <w:szCs w:val="18"/>
                    </w:rPr>
                  </w:pPr>
                  <w:r>
                    <w:rPr>
                      <w:rFonts w:hint="default" w:ascii="Arial" w:hAnsi="Arial" w:cs="Arial"/>
                      <w:sz w:val="16"/>
                      <w:szCs w:val="18"/>
                    </w:rPr>
                    <w:t xml:space="preserve"> ground truth (i.e., target CSI) corresponding to predicted CSI </w:t>
                  </w:r>
                </w:p>
                <w:p>
                  <w:pPr>
                    <w:snapToGrid w:val="0"/>
                    <w:spacing w:before="100" w:beforeAutospacing="1" w:after="120"/>
                    <w:rPr>
                      <w:rFonts w:hint="default" w:ascii="Arial" w:hAnsi="Arial" w:cs="Arial"/>
                      <w:sz w:val="16"/>
                      <w:szCs w:val="18"/>
                    </w:rPr>
                  </w:pPr>
                  <w:r>
                    <w:rPr>
                      <w:rFonts w:hint="default" w:ascii="Arial" w:hAnsi="Arial" w:cs="Arial"/>
                      <w:sz w:val="16"/>
                      <w:szCs w:val="18"/>
                    </w:rPr>
                    <w:t>See Note 6</w:t>
                  </w:r>
                </w:p>
              </w:tc>
              <w:tc>
                <w:tcPr>
                  <w:tcW w:w="1841" w:type="dxa"/>
                  <w:shd w:val="clear" w:color="auto" w:fill="auto"/>
                  <w:vAlign w:val="center"/>
                </w:tcPr>
                <w:p>
                  <w:pPr>
                    <w:snapToGrid w:val="0"/>
                    <w:spacing w:before="100" w:beforeAutospacing="1" w:after="120"/>
                    <w:rPr>
                      <w:rFonts w:hint="default" w:ascii="Arial" w:hAnsi="Arial" w:cs="Arial"/>
                      <w:sz w:val="16"/>
                      <w:szCs w:val="18"/>
                    </w:rPr>
                  </w:pPr>
                  <w:r>
                    <w:rPr>
                      <w:rFonts w:hint="default" w:ascii="Arial" w:hAnsi="Arial" w:cs="Arial"/>
                      <w:sz w:val="16"/>
                      <w:szCs w:val="18"/>
                    </w:rPr>
                    <w:t>See Notes 1, 2</w:t>
                  </w:r>
                </w:p>
              </w:tc>
              <w:tc>
                <w:tcPr>
                  <w:tcW w:w="1665" w:type="dxa"/>
                  <w:shd w:val="clear" w:color="auto" w:fill="auto"/>
                  <w:vAlign w:val="center"/>
                </w:tcPr>
                <w:p>
                  <w:pPr>
                    <w:snapToGrid w:val="0"/>
                    <w:spacing w:before="100" w:beforeAutospacing="1" w:after="120"/>
                    <w:rPr>
                      <w:rFonts w:hint="default" w:ascii="Arial" w:hAnsi="Arial" w:cs="Arial"/>
                      <w:sz w:val="16"/>
                      <w:szCs w:val="18"/>
                    </w:rPr>
                  </w:pPr>
                  <w:r>
                    <w:rPr>
                      <w:rFonts w:hint="default" w:ascii="Arial" w:hAnsi="Arial" w:cs="Arial"/>
                      <w:sz w:val="16"/>
                      <w:szCs w:val="18"/>
                    </w:rPr>
                    <w:t>Near-real-time</w:t>
                  </w:r>
                </w:p>
              </w:tc>
              <w:tc>
                <w:tcPr>
                  <w:tcW w:w="2455" w:type="dxa"/>
                  <w:shd w:val="clear" w:color="auto" w:fill="auto"/>
                  <w:vAlign w:val="center"/>
                </w:tcPr>
                <w:p>
                  <w:pPr>
                    <w:snapToGrid w:val="0"/>
                    <w:spacing w:before="100" w:beforeAutospacing="1" w:after="120"/>
                    <w:rPr>
                      <w:rFonts w:hint="default" w:ascii="Arial" w:hAnsi="Arial" w:cs="Arial"/>
                      <w:sz w:val="16"/>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157" w:type="dxa"/>
                  <w:vMerge w:val="continue"/>
                  <w:shd w:val="clear" w:color="auto" w:fill="auto"/>
                  <w:vAlign w:val="center"/>
                </w:tcPr>
                <w:p>
                  <w:pPr>
                    <w:snapToGrid w:val="0"/>
                    <w:spacing w:before="100" w:beforeAutospacing="1" w:after="120"/>
                    <w:rPr>
                      <w:rFonts w:hint="default" w:ascii="Arial" w:hAnsi="Arial" w:cs="Arial"/>
                      <w:sz w:val="16"/>
                      <w:szCs w:val="18"/>
                    </w:rPr>
                  </w:pPr>
                </w:p>
              </w:tc>
              <w:tc>
                <w:tcPr>
                  <w:tcW w:w="2520" w:type="dxa"/>
                  <w:shd w:val="clear" w:color="auto" w:fill="auto"/>
                  <w:vAlign w:val="center"/>
                </w:tcPr>
                <w:p>
                  <w:pPr>
                    <w:snapToGrid w:val="0"/>
                    <w:spacing w:before="100" w:beforeAutospacing="1" w:after="120"/>
                    <w:rPr>
                      <w:rFonts w:hint="default" w:ascii="Arial" w:hAnsi="Arial" w:cs="Arial"/>
                      <w:sz w:val="16"/>
                      <w:szCs w:val="18"/>
                    </w:rPr>
                  </w:pPr>
                  <w:r>
                    <w:rPr>
                      <w:rFonts w:hint="default" w:ascii="Arial" w:hAnsi="Arial" w:cs="Arial"/>
                      <w:sz w:val="16"/>
                      <w:szCs w:val="18"/>
                    </w:rPr>
                    <w:t>Calculated performance metrics / Performance monitoring output</w:t>
                  </w:r>
                </w:p>
                <w:p>
                  <w:pPr>
                    <w:snapToGrid w:val="0"/>
                    <w:spacing w:before="100" w:beforeAutospacing="1" w:after="120"/>
                    <w:rPr>
                      <w:rFonts w:hint="default" w:ascii="Arial" w:hAnsi="Arial" w:cs="Arial"/>
                      <w:sz w:val="16"/>
                      <w:szCs w:val="18"/>
                    </w:rPr>
                  </w:pPr>
                  <w:r>
                    <w:rPr>
                      <w:rFonts w:hint="default" w:ascii="Arial" w:hAnsi="Arial" w:cs="Arial"/>
                      <w:sz w:val="16"/>
                      <w:szCs w:val="18"/>
                    </w:rPr>
                    <w:t>See Note 6</w:t>
                  </w:r>
                </w:p>
              </w:tc>
              <w:tc>
                <w:tcPr>
                  <w:tcW w:w="1841" w:type="dxa"/>
                  <w:shd w:val="clear" w:color="auto" w:fill="auto"/>
                  <w:vAlign w:val="center"/>
                </w:tcPr>
                <w:p>
                  <w:pPr>
                    <w:snapToGrid w:val="0"/>
                    <w:spacing w:before="100" w:beforeAutospacing="1" w:after="120"/>
                    <w:rPr>
                      <w:rFonts w:hint="default" w:ascii="Arial" w:hAnsi="Arial" w:cs="Arial"/>
                      <w:sz w:val="16"/>
                      <w:szCs w:val="18"/>
                    </w:rPr>
                  </w:pPr>
                  <w:r>
                    <w:rPr>
                      <w:rFonts w:hint="default" w:ascii="Arial" w:hAnsi="Arial" w:cs="Arial"/>
                      <w:sz w:val="16"/>
                      <w:szCs w:val="18"/>
                    </w:rPr>
                    <w:t>See Note 5</w:t>
                  </w:r>
                </w:p>
              </w:tc>
              <w:tc>
                <w:tcPr>
                  <w:tcW w:w="1665" w:type="dxa"/>
                  <w:shd w:val="clear" w:color="auto" w:fill="auto"/>
                  <w:vAlign w:val="center"/>
                </w:tcPr>
                <w:p>
                  <w:pPr>
                    <w:snapToGrid w:val="0"/>
                    <w:spacing w:before="100" w:beforeAutospacing="1" w:after="120"/>
                    <w:rPr>
                      <w:rFonts w:hint="default" w:ascii="Arial" w:hAnsi="Arial" w:cs="Arial"/>
                      <w:sz w:val="16"/>
                      <w:szCs w:val="18"/>
                    </w:rPr>
                  </w:pPr>
                  <w:r>
                    <w:rPr>
                      <w:rFonts w:hint="default" w:ascii="Arial" w:hAnsi="Arial" w:cs="Arial"/>
                      <w:sz w:val="16"/>
                      <w:szCs w:val="18"/>
                    </w:rPr>
                    <w:t>Near-real-time</w:t>
                  </w:r>
                </w:p>
              </w:tc>
              <w:tc>
                <w:tcPr>
                  <w:tcW w:w="2455" w:type="dxa"/>
                  <w:shd w:val="clear" w:color="auto" w:fill="auto"/>
                  <w:vAlign w:val="center"/>
                </w:tcPr>
                <w:p>
                  <w:pPr>
                    <w:snapToGrid w:val="0"/>
                    <w:spacing w:before="100" w:beforeAutospacing="1" w:after="120"/>
                    <w:rPr>
                      <w:rFonts w:hint="default" w:ascii="Arial" w:hAnsi="Arial" w:cs="Arial"/>
                      <w:sz w:val="16"/>
                      <w:szCs w:val="18"/>
                    </w:rPr>
                  </w:pPr>
                </w:p>
              </w:tc>
            </w:tr>
          </w:tbl>
          <w:p>
            <w:pPr>
              <w:rPr>
                <w:rFonts w:hint="default" w:ascii="Arial" w:hAnsi="Arial" w:cs="Arial"/>
                <w:sz w:val="18"/>
                <w:szCs w:val="20"/>
              </w:rPr>
            </w:pPr>
          </w:p>
          <w:p>
            <w:pPr>
              <w:rPr>
                <w:rFonts w:hint="default" w:ascii="Arial" w:hAnsi="Arial" w:cs="Arial"/>
                <w:i/>
                <w:iCs/>
                <w:sz w:val="16"/>
                <w:szCs w:val="18"/>
              </w:rPr>
            </w:pPr>
            <w:r>
              <w:rPr>
                <w:rFonts w:hint="default" w:ascii="Arial" w:hAnsi="Arial" w:cs="Arial"/>
                <w:i/>
                <w:iCs/>
                <w:sz w:val="16"/>
                <w:szCs w:val="18"/>
              </w:rPr>
              <w:t>Note 1: Target CSI may be precoding matrix or channel matrix. RAN1’s reply for data size is based on channel matrix which has been more widely evaluated than precoding Matrix.</w:t>
            </w:r>
          </w:p>
          <w:p>
            <w:pPr>
              <w:rPr>
                <w:rFonts w:hint="default" w:ascii="Arial" w:hAnsi="Arial" w:cs="Arial"/>
                <w:i/>
                <w:iCs/>
                <w:sz w:val="16"/>
                <w:szCs w:val="18"/>
              </w:rPr>
            </w:pPr>
            <w:r>
              <w:rPr>
                <w:rFonts w:hint="default" w:ascii="Arial" w:hAnsi="Arial" w:cs="Arial"/>
                <w:i/>
                <w:iCs/>
                <w:sz w:val="16"/>
                <w:szCs w:val="18"/>
              </w:rPr>
              <w:t xml:space="preserve">Note 2: Data size for target CSI depends on the format. There is no agreement on the format or precision of the target CSI. The data size may also vary depending on the configuration, and the captured value indicates the order of magnitude of the typical data size per sample as a guideline. One example based on companies’ evaluations is </w:t>
            </w:r>
            <w:r>
              <w:rPr>
                <w:rFonts w:hint="default" w:ascii="Arial" w:hAnsi="Arial" w:cs="Arial"/>
                <w:i/>
                <w:iCs/>
                <w:sz w:val="16"/>
                <w:szCs w:val="18"/>
                <w:highlight w:val="yellow"/>
              </w:rPr>
              <w:t>up to around 1.5Mbits</w:t>
            </w:r>
            <w:r>
              <w:rPr>
                <w:rFonts w:hint="default" w:ascii="Arial" w:hAnsi="Arial" w:cs="Arial"/>
                <w:i/>
                <w:iCs/>
                <w:sz w:val="16"/>
                <w:szCs w:val="18"/>
              </w:rPr>
              <w:t xml:space="preserve">, </w:t>
            </w:r>
            <w:r>
              <w:rPr>
                <w:rFonts w:hint="default" w:ascii="Arial" w:hAnsi="Arial" w:cs="Arial"/>
                <w:i/>
                <w:iCs/>
                <w:sz w:val="16"/>
                <w:szCs w:val="18"/>
                <w:highlight w:val="yellow"/>
              </w:rPr>
              <w:t>assuming float 32 and 10 CSI-RS observation instances as input to predict one future CSI instance</w:t>
            </w:r>
            <w:r>
              <w:rPr>
                <w:rFonts w:hint="default" w:ascii="Arial" w:hAnsi="Arial" w:cs="Arial"/>
                <w:i/>
                <w:iCs/>
                <w:sz w:val="16"/>
                <w:szCs w:val="18"/>
              </w:rPr>
              <w:t>.</w:t>
            </w:r>
          </w:p>
          <w:p>
            <w:pPr>
              <w:rPr>
                <w:rFonts w:hint="default" w:ascii="Arial" w:hAnsi="Arial" w:cs="Arial"/>
                <w:i/>
                <w:iCs/>
                <w:sz w:val="16"/>
                <w:szCs w:val="18"/>
              </w:rPr>
            </w:pPr>
            <w:r>
              <w:rPr>
                <w:rFonts w:hint="default" w:ascii="Arial" w:hAnsi="Arial" w:cs="Arial"/>
                <w:i/>
                <w:iCs/>
                <w:sz w:val="16"/>
                <w:szCs w:val="18"/>
              </w:rPr>
              <w:t xml:space="preserve">Note 5: There is </w:t>
            </w:r>
            <w:r>
              <w:rPr>
                <w:rFonts w:hint="default" w:ascii="Arial" w:hAnsi="Arial" w:cs="Arial"/>
                <w:i/>
                <w:iCs/>
                <w:sz w:val="16"/>
                <w:szCs w:val="18"/>
                <w:highlight w:val="yellow"/>
              </w:rPr>
              <w:t>no agreement on the performance metric or monitoring output details</w:t>
            </w:r>
            <w:r>
              <w:rPr>
                <w:rFonts w:hint="default" w:ascii="Arial" w:hAnsi="Arial" w:cs="Arial"/>
                <w:i/>
                <w:iCs/>
                <w:sz w:val="16"/>
                <w:szCs w:val="18"/>
              </w:rPr>
              <w:t>.</w:t>
            </w:r>
          </w:p>
          <w:p>
            <w:pPr>
              <w:pStyle w:val="8"/>
              <w:rPr>
                <w:rFonts w:hint="default" w:ascii="Arial" w:hAnsi="Arial" w:cs="Arial"/>
                <w:i/>
                <w:iCs/>
                <w:sz w:val="16"/>
                <w:szCs w:val="18"/>
              </w:rPr>
            </w:pPr>
            <w:r>
              <w:rPr>
                <w:rFonts w:hint="default" w:ascii="Arial" w:hAnsi="Arial" w:cs="Arial"/>
                <w:i/>
                <w:iCs/>
                <w:sz w:val="16"/>
                <w:szCs w:val="18"/>
              </w:rPr>
              <w:t xml:space="preserve">Note 6: </w:t>
            </w:r>
            <w:r>
              <w:rPr>
                <w:rFonts w:hint="default" w:ascii="Arial" w:hAnsi="Arial" w:cs="Arial"/>
                <w:i/>
                <w:iCs/>
                <w:sz w:val="16"/>
                <w:szCs w:val="18"/>
                <w:highlight w:val="yellow"/>
              </w:rPr>
              <w:t>Feasibility and necessity of the monitoring schemes listed in the table are under discussion</w:t>
            </w:r>
            <w:r>
              <w:rPr>
                <w:rFonts w:hint="default" w:ascii="Arial" w:hAnsi="Arial" w:cs="Arial"/>
                <w:i/>
                <w:iCs/>
                <w:sz w:val="16"/>
                <w:szCs w:val="18"/>
              </w:rPr>
              <w:t>.</w:t>
            </w:r>
          </w:p>
          <w:p>
            <w:pPr>
              <w:pStyle w:val="8"/>
              <w:rPr>
                <w:rFonts w:hint="default" w:ascii="Arial" w:hAnsi="Arial" w:cs="Arial"/>
                <w:i/>
                <w:iCs/>
                <w:sz w:val="16"/>
                <w:szCs w:val="18"/>
              </w:rPr>
            </w:pPr>
          </w:p>
          <w:p>
            <w:pPr>
              <w:pStyle w:val="22"/>
              <w:spacing w:line="360" w:lineRule="auto"/>
              <w:ind w:left="0" w:leftChars="0" w:firstLine="0" w:firstLineChars="0"/>
              <w:jc w:val="both"/>
              <w:rPr>
                <w:rFonts w:hint="default" w:ascii="Arial" w:hAnsi="Arial" w:eastAsia="等线" w:cs="Arial"/>
                <w:b/>
                <w:bCs/>
                <w:sz w:val="16"/>
                <w:szCs w:val="16"/>
                <w:lang w:val="en-US" w:eastAsia="zh-CN"/>
              </w:rPr>
            </w:pPr>
            <w:r>
              <w:rPr>
                <w:rFonts w:hint="default" w:ascii="Arial" w:hAnsi="Arial" w:eastAsia="等线" w:cs="Arial"/>
                <w:b/>
                <w:bCs/>
                <w:sz w:val="16"/>
                <w:szCs w:val="16"/>
                <w:lang w:eastAsia="zh-CN"/>
              </w:rPr>
              <w:t>For Beam management</w:t>
            </w:r>
            <w:r>
              <w:rPr>
                <w:rFonts w:hint="eastAsia" w:ascii="Arial" w:hAnsi="Arial" w:eastAsia="等线" w:cs="Arial"/>
                <w:b/>
                <w:bCs/>
                <w:sz w:val="16"/>
                <w:szCs w:val="16"/>
                <w:lang w:val="en-US" w:eastAsia="zh-CN"/>
              </w:rPr>
              <w:t>:</w:t>
            </w:r>
          </w:p>
          <w:tbl>
            <w:tblPr>
              <w:tblStyle w:val="13"/>
              <w:tblW w:w="9618" w:type="dxa"/>
              <w:tblInd w:w="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1"/>
              <w:gridCol w:w="1493"/>
              <w:gridCol w:w="2290"/>
              <w:gridCol w:w="1748"/>
              <w:gridCol w:w="1468"/>
              <w:gridCol w:w="1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141" w:type="dxa"/>
                  <w:shd w:val="clear" w:color="auto" w:fill="auto"/>
                </w:tcPr>
                <w:p>
                  <w:pPr>
                    <w:spacing w:before="120" w:line="312" w:lineRule="auto"/>
                    <w:rPr>
                      <w:rFonts w:hint="default" w:ascii="Arial" w:hAnsi="Arial" w:eastAsia="宋体" w:cs="Arial"/>
                      <w:b/>
                      <w:sz w:val="16"/>
                      <w:szCs w:val="18"/>
                    </w:rPr>
                  </w:pPr>
                  <w:r>
                    <w:rPr>
                      <w:rFonts w:hint="default" w:ascii="Arial" w:hAnsi="Arial" w:eastAsia="宋体" w:cs="Arial"/>
                      <w:b/>
                      <w:bCs/>
                      <w:sz w:val="16"/>
                      <w:szCs w:val="18"/>
                    </w:rPr>
                    <w:t>LCM purpose</w:t>
                  </w:r>
                </w:p>
              </w:tc>
              <w:tc>
                <w:tcPr>
                  <w:tcW w:w="1493" w:type="dxa"/>
                  <w:shd w:val="clear" w:color="auto" w:fill="auto"/>
                </w:tcPr>
                <w:p>
                  <w:pPr>
                    <w:spacing w:before="120" w:line="312" w:lineRule="auto"/>
                    <w:rPr>
                      <w:rFonts w:hint="default" w:ascii="Arial" w:hAnsi="Arial" w:eastAsia="宋体" w:cs="Arial"/>
                      <w:b/>
                      <w:bCs/>
                      <w:sz w:val="16"/>
                      <w:szCs w:val="18"/>
                    </w:rPr>
                  </w:pPr>
                  <w:r>
                    <w:rPr>
                      <w:rFonts w:hint="default" w:ascii="Arial" w:hAnsi="Arial" w:eastAsia="宋体" w:cs="Arial"/>
                      <w:b/>
                      <w:bCs/>
                      <w:sz w:val="16"/>
                      <w:szCs w:val="18"/>
                    </w:rPr>
                    <w:t>UE-side/NW-side models</w:t>
                  </w:r>
                </w:p>
              </w:tc>
              <w:tc>
                <w:tcPr>
                  <w:tcW w:w="2290" w:type="dxa"/>
                  <w:shd w:val="clear" w:color="auto" w:fill="auto"/>
                </w:tcPr>
                <w:p>
                  <w:pPr>
                    <w:spacing w:before="120" w:line="312" w:lineRule="auto"/>
                    <w:rPr>
                      <w:rFonts w:hint="default" w:ascii="Arial" w:hAnsi="Arial" w:eastAsia="宋体" w:cs="Arial"/>
                      <w:b/>
                      <w:sz w:val="16"/>
                      <w:szCs w:val="18"/>
                    </w:rPr>
                  </w:pPr>
                  <w:r>
                    <w:rPr>
                      <w:rFonts w:hint="default" w:ascii="Arial" w:hAnsi="Arial" w:eastAsia="宋体" w:cs="Arial"/>
                      <w:b/>
                      <w:sz w:val="16"/>
                      <w:szCs w:val="18"/>
                    </w:rPr>
                    <w:t>Data content</w:t>
                  </w:r>
                </w:p>
              </w:tc>
              <w:tc>
                <w:tcPr>
                  <w:tcW w:w="1748" w:type="dxa"/>
                  <w:shd w:val="clear" w:color="auto" w:fill="auto"/>
                </w:tcPr>
                <w:p>
                  <w:pPr>
                    <w:spacing w:before="120" w:line="312" w:lineRule="auto"/>
                    <w:rPr>
                      <w:rFonts w:hint="default" w:ascii="Arial" w:hAnsi="Arial" w:eastAsia="宋体" w:cs="Arial"/>
                      <w:b/>
                      <w:sz w:val="16"/>
                      <w:szCs w:val="18"/>
                    </w:rPr>
                  </w:pPr>
                  <w:r>
                    <w:rPr>
                      <w:rFonts w:hint="default" w:ascii="Arial" w:hAnsi="Arial" w:eastAsia="宋体" w:cs="Arial"/>
                      <w:b/>
                      <w:bCs/>
                      <w:sz w:val="16"/>
                      <w:szCs w:val="18"/>
                    </w:rPr>
                    <w:t>Typical data size (per data sample)</w:t>
                  </w:r>
                </w:p>
              </w:tc>
              <w:tc>
                <w:tcPr>
                  <w:tcW w:w="1468" w:type="dxa"/>
                  <w:shd w:val="clear" w:color="auto" w:fill="auto"/>
                </w:tcPr>
                <w:p>
                  <w:pPr>
                    <w:spacing w:before="120" w:line="312" w:lineRule="auto"/>
                    <w:rPr>
                      <w:rFonts w:hint="default" w:ascii="Arial" w:hAnsi="Arial" w:eastAsia="宋体" w:cs="Arial"/>
                      <w:b/>
                      <w:sz w:val="16"/>
                      <w:szCs w:val="18"/>
                    </w:rPr>
                  </w:pPr>
                  <w:r>
                    <w:rPr>
                      <w:rFonts w:hint="default" w:ascii="Arial" w:hAnsi="Arial" w:eastAsia="宋体" w:cs="Arial"/>
                      <w:b/>
                      <w:sz w:val="16"/>
                      <w:szCs w:val="18"/>
                    </w:rPr>
                    <w:t>Typical latency requirement</w:t>
                  </w:r>
                </w:p>
              </w:tc>
              <w:tc>
                <w:tcPr>
                  <w:tcW w:w="1478" w:type="dxa"/>
                  <w:shd w:val="clear" w:color="auto" w:fill="auto"/>
                </w:tcPr>
                <w:p>
                  <w:pPr>
                    <w:spacing w:before="120" w:line="312" w:lineRule="auto"/>
                    <w:rPr>
                      <w:rFonts w:hint="default" w:ascii="Arial" w:hAnsi="Arial" w:eastAsia="宋体" w:cs="Arial"/>
                      <w:b/>
                      <w:bCs/>
                      <w:sz w:val="16"/>
                      <w:szCs w:val="18"/>
                    </w:rPr>
                  </w:pPr>
                  <w:r>
                    <w:rPr>
                      <w:rFonts w:hint="default" w:ascii="Arial" w:hAnsi="Arial" w:eastAsia="宋体" w:cs="Arial"/>
                      <w:b/>
                      <w:bCs/>
                      <w:sz w:val="16"/>
                      <w:szCs w:val="18"/>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141" w:type="dxa"/>
                  <w:vMerge w:val="restart"/>
                  <w:shd w:val="clear" w:color="auto" w:fill="auto"/>
                </w:tcPr>
                <w:p>
                  <w:pPr>
                    <w:spacing w:before="120" w:line="312" w:lineRule="auto"/>
                    <w:rPr>
                      <w:rFonts w:hint="default" w:ascii="Arial" w:hAnsi="Arial" w:eastAsia="宋体" w:cs="Arial"/>
                      <w:sz w:val="16"/>
                      <w:szCs w:val="18"/>
                    </w:rPr>
                  </w:pPr>
                  <w:r>
                    <w:rPr>
                      <w:rFonts w:hint="default" w:ascii="Arial" w:hAnsi="Arial" w:eastAsia="宋体" w:cs="Arial"/>
                      <w:sz w:val="16"/>
                      <w:szCs w:val="18"/>
                    </w:rPr>
                    <w:t>Monitoring</w:t>
                  </w:r>
                </w:p>
              </w:tc>
              <w:tc>
                <w:tcPr>
                  <w:tcW w:w="1493" w:type="dxa"/>
                  <w:shd w:val="clear" w:color="auto" w:fill="auto"/>
                </w:tcPr>
                <w:p>
                  <w:pPr>
                    <w:spacing w:before="120" w:line="312" w:lineRule="auto"/>
                    <w:rPr>
                      <w:rFonts w:hint="default" w:ascii="Arial" w:hAnsi="Arial" w:eastAsia="宋体" w:cs="Arial"/>
                      <w:sz w:val="16"/>
                      <w:szCs w:val="18"/>
                    </w:rPr>
                  </w:pPr>
                  <w:r>
                    <w:rPr>
                      <w:rFonts w:hint="default" w:ascii="Arial" w:hAnsi="Arial" w:eastAsia="宋体" w:cs="Arial"/>
                      <w:sz w:val="16"/>
                      <w:szCs w:val="18"/>
                    </w:rPr>
                    <w:t>UE-side</w:t>
                  </w:r>
                </w:p>
              </w:tc>
              <w:tc>
                <w:tcPr>
                  <w:tcW w:w="2290" w:type="dxa"/>
                  <w:shd w:val="clear" w:color="auto" w:fill="auto"/>
                </w:tcPr>
                <w:p>
                  <w:pPr>
                    <w:tabs>
                      <w:tab w:val="left" w:pos="1440"/>
                    </w:tabs>
                    <w:spacing w:line="276" w:lineRule="auto"/>
                    <w:contextualSpacing/>
                    <w:jc w:val="both"/>
                    <w:rPr>
                      <w:rFonts w:hint="default" w:ascii="Arial" w:hAnsi="Arial" w:eastAsia="Calibri" w:cs="Arial"/>
                      <w:sz w:val="16"/>
                      <w:szCs w:val="18"/>
                    </w:rPr>
                  </w:pPr>
                  <w:r>
                    <w:rPr>
                      <w:rFonts w:hint="default" w:ascii="Arial" w:hAnsi="Arial" w:eastAsia="Calibri" w:cs="Arial"/>
                      <w:sz w:val="16"/>
                      <w:szCs w:val="18"/>
                    </w:rPr>
                    <w:t>Event occurrence and/or calculated performance metrics (from UE to NW)</w:t>
                  </w:r>
                </w:p>
                <w:p>
                  <w:pPr>
                    <w:tabs>
                      <w:tab w:val="left" w:pos="1440"/>
                    </w:tabs>
                    <w:spacing w:line="276" w:lineRule="auto"/>
                    <w:contextualSpacing/>
                    <w:jc w:val="both"/>
                    <w:rPr>
                      <w:rFonts w:hint="default" w:ascii="Arial" w:hAnsi="Arial" w:eastAsia="宋体" w:cs="Arial"/>
                      <w:sz w:val="16"/>
                      <w:szCs w:val="18"/>
                    </w:rPr>
                  </w:pPr>
                  <w:r>
                    <w:rPr>
                      <w:rFonts w:hint="default" w:ascii="Arial" w:hAnsi="Arial" w:eastAsia="Calibri" w:cs="Arial"/>
                      <w:sz w:val="16"/>
                      <w:szCs w:val="18"/>
                    </w:rPr>
                    <w:t>See Note 4</w:t>
                  </w:r>
                </w:p>
              </w:tc>
              <w:tc>
                <w:tcPr>
                  <w:tcW w:w="1748" w:type="dxa"/>
                  <w:shd w:val="clear" w:color="auto" w:fill="auto"/>
                </w:tcPr>
                <w:p>
                  <w:pPr>
                    <w:spacing w:before="120" w:line="312" w:lineRule="auto"/>
                    <w:rPr>
                      <w:rFonts w:hint="default" w:ascii="Arial" w:hAnsi="Arial" w:eastAsia="宋体" w:cs="Arial"/>
                      <w:sz w:val="16"/>
                      <w:szCs w:val="18"/>
                    </w:rPr>
                  </w:pPr>
                  <w:r>
                    <w:rPr>
                      <w:rFonts w:hint="default" w:ascii="Arial" w:hAnsi="Arial" w:eastAsia="宋体" w:cs="Arial"/>
                      <w:sz w:val="16"/>
                      <w:szCs w:val="18"/>
                    </w:rPr>
                    <w:t>Small (</w:t>
                  </w:r>
                  <w:r>
                    <w:rPr>
                      <w:rFonts w:hint="default" w:ascii="Arial" w:hAnsi="Arial" w:eastAsia="宋体" w:cs="Arial"/>
                      <w:sz w:val="16"/>
                      <w:szCs w:val="18"/>
                      <w:highlight w:val="yellow"/>
                    </w:rPr>
                    <w:t>10s of bits</w:t>
                  </w:r>
                  <w:r>
                    <w:rPr>
                      <w:rFonts w:hint="default" w:ascii="Arial" w:hAnsi="Arial" w:eastAsia="宋体" w:cs="Arial"/>
                      <w:sz w:val="16"/>
                      <w:szCs w:val="18"/>
                    </w:rPr>
                    <w:t>)</w:t>
                  </w:r>
                </w:p>
              </w:tc>
              <w:tc>
                <w:tcPr>
                  <w:tcW w:w="1468" w:type="dxa"/>
                  <w:shd w:val="clear" w:color="auto" w:fill="auto"/>
                </w:tcPr>
                <w:p>
                  <w:pPr>
                    <w:spacing w:before="120" w:line="312" w:lineRule="auto"/>
                    <w:rPr>
                      <w:rFonts w:hint="default" w:ascii="Arial" w:hAnsi="Arial" w:eastAsia="宋体" w:cs="Arial"/>
                      <w:sz w:val="16"/>
                      <w:szCs w:val="18"/>
                    </w:rPr>
                  </w:pPr>
                  <w:r>
                    <w:rPr>
                      <w:rFonts w:hint="default" w:ascii="Arial" w:hAnsi="Arial" w:eastAsia="宋体" w:cs="Arial"/>
                      <w:sz w:val="16"/>
                      <w:szCs w:val="18"/>
                    </w:rPr>
                    <w:t>Near-real-time</w:t>
                  </w:r>
                </w:p>
              </w:tc>
              <w:tc>
                <w:tcPr>
                  <w:tcW w:w="1478" w:type="dxa"/>
                  <w:shd w:val="clear" w:color="auto" w:fill="auto"/>
                </w:tcPr>
                <w:p>
                  <w:pPr>
                    <w:spacing w:before="120" w:line="312" w:lineRule="auto"/>
                    <w:rPr>
                      <w:rFonts w:hint="default" w:ascii="Arial" w:hAnsi="Arial" w:eastAsia="宋体" w:cs="Arial"/>
                      <w:sz w:val="16"/>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4" w:hRule="atLeast"/>
              </w:trPr>
              <w:tc>
                <w:tcPr>
                  <w:tcW w:w="1141" w:type="dxa"/>
                  <w:vMerge w:val="continue"/>
                  <w:shd w:val="clear" w:color="auto" w:fill="auto"/>
                </w:tcPr>
                <w:p>
                  <w:pPr>
                    <w:spacing w:before="120" w:line="312" w:lineRule="auto"/>
                    <w:rPr>
                      <w:rFonts w:hint="default" w:ascii="Arial" w:hAnsi="Arial" w:eastAsia="宋体" w:cs="Arial"/>
                      <w:sz w:val="16"/>
                      <w:szCs w:val="18"/>
                    </w:rPr>
                  </w:pPr>
                </w:p>
              </w:tc>
              <w:tc>
                <w:tcPr>
                  <w:tcW w:w="1493" w:type="dxa"/>
                  <w:shd w:val="clear" w:color="auto" w:fill="auto"/>
                </w:tcPr>
                <w:p>
                  <w:pPr>
                    <w:spacing w:before="120" w:line="312" w:lineRule="auto"/>
                    <w:rPr>
                      <w:rFonts w:hint="default" w:ascii="Arial" w:hAnsi="Arial" w:eastAsia="宋体" w:cs="Arial"/>
                      <w:sz w:val="16"/>
                      <w:szCs w:val="18"/>
                    </w:rPr>
                  </w:pPr>
                  <w:r>
                    <w:rPr>
                      <w:rFonts w:hint="default" w:ascii="Arial" w:hAnsi="Arial" w:eastAsia="宋体" w:cs="Arial"/>
                      <w:sz w:val="16"/>
                      <w:szCs w:val="18"/>
                    </w:rPr>
                    <w:t>UE-side</w:t>
                  </w:r>
                </w:p>
              </w:tc>
              <w:tc>
                <w:tcPr>
                  <w:tcW w:w="2290" w:type="dxa"/>
                  <w:shd w:val="clear" w:color="auto" w:fill="auto"/>
                </w:tcPr>
                <w:p>
                  <w:pPr>
                    <w:spacing w:before="120" w:line="312" w:lineRule="auto"/>
                    <w:rPr>
                      <w:rFonts w:hint="default" w:ascii="Arial" w:hAnsi="Arial" w:eastAsia="宋体" w:cs="Arial"/>
                      <w:sz w:val="16"/>
                      <w:szCs w:val="18"/>
                    </w:rPr>
                  </w:pPr>
                  <w:r>
                    <w:rPr>
                      <w:rFonts w:hint="default" w:ascii="Arial" w:hAnsi="Arial" w:eastAsia="宋体" w:cs="Arial"/>
                      <w:sz w:val="16"/>
                      <w:szCs w:val="18"/>
                    </w:rPr>
                    <w:t>L1-RSRP(s) and/or beam-ID(s)</w:t>
                  </w:r>
                </w:p>
                <w:p>
                  <w:pPr>
                    <w:tabs>
                      <w:tab w:val="left" w:pos="1440"/>
                    </w:tabs>
                    <w:spacing w:line="276" w:lineRule="auto"/>
                    <w:contextualSpacing/>
                    <w:jc w:val="both"/>
                    <w:rPr>
                      <w:rFonts w:hint="default" w:ascii="Arial" w:hAnsi="Arial" w:eastAsia="Calibri" w:cs="Arial"/>
                      <w:sz w:val="16"/>
                      <w:szCs w:val="18"/>
                    </w:rPr>
                  </w:pPr>
                  <w:r>
                    <w:rPr>
                      <w:rFonts w:hint="default" w:ascii="Arial" w:hAnsi="Arial" w:eastAsia="Calibri" w:cs="Arial"/>
                      <w:sz w:val="16"/>
                      <w:szCs w:val="18"/>
                    </w:rPr>
                    <w:t>See Note 4</w:t>
                  </w:r>
                </w:p>
              </w:tc>
              <w:tc>
                <w:tcPr>
                  <w:tcW w:w="1748" w:type="dxa"/>
                  <w:shd w:val="clear" w:color="auto" w:fill="auto"/>
                </w:tcPr>
                <w:p>
                  <w:pPr>
                    <w:spacing w:before="120" w:line="312" w:lineRule="auto"/>
                    <w:rPr>
                      <w:rFonts w:hint="default" w:ascii="Arial" w:hAnsi="Arial" w:eastAsia="宋体" w:cs="Arial"/>
                      <w:sz w:val="16"/>
                      <w:szCs w:val="18"/>
                      <w:lang w:eastAsia="zh-CN"/>
                    </w:rPr>
                  </w:pPr>
                  <w:r>
                    <w:rPr>
                      <w:rFonts w:hint="default" w:ascii="Arial" w:hAnsi="Arial" w:eastAsia="宋体" w:cs="Arial"/>
                      <w:sz w:val="16"/>
                      <w:szCs w:val="18"/>
                      <w:highlight w:val="yellow"/>
                      <w:lang w:eastAsia="zh-CN"/>
                    </w:rPr>
                    <w:t>Up to 10 bits, or up to 100 bits, or up to</w:t>
                  </w:r>
                  <w:r>
                    <w:rPr>
                      <w:rFonts w:hint="default" w:ascii="Arial" w:hAnsi="Arial" w:eastAsia="宋体" w:cs="Arial"/>
                      <w:sz w:val="16"/>
                      <w:szCs w:val="18"/>
                      <w:lang w:eastAsia="zh-CN"/>
                    </w:rPr>
                    <w:t xml:space="preserve"> </w:t>
                  </w:r>
                  <w:r>
                    <w:rPr>
                      <w:rFonts w:hint="default" w:ascii="Arial" w:hAnsi="Arial" w:eastAsia="宋体" w:cs="Arial"/>
                      <w:sz w:val="16"/>
                      <w:szCs w:val="18"/>
                      <w:highlight w:val="yellow"/>
                      <w:lang w:eastAsia="zh-CN"/>
                    </w:rPr>
                    <w:t>hundreds of bits</w:t>
                  </w:r>
                  <w:r>
                    <w:rPr>
                      <w:rFonts w:hint="default" w:ascii="Arial" w:hAnsi="Arial" w:eastAsia="宋体" w:cs="Arial"/>
                      <w:sz w:val="16"/>
                      <w:szCs w:val="18"/>
                      <w:lang w:eastAsia="zh-CN"/>
                    </w:rPr>
                    <w:t>.</w:t>
                  </w:r>
                </w:p>
                <w:p>
                  <w:pPr>
                    <w:spacing w:before="120" w:line="312" w:lineRule="auto"/>
                    <w:rPr>
                      <w:rFonts w:hint="default" w:ascii="Arial" w:hAnsi="Arial" w:eastAsia="宋体" w:cs="Arial"/>
                      <w:sz w:val="16"/>
                      <w:szCs w:val="18"/>
                    </w:rPr>
                  </w:pPr>
                  <w:r>
                    <w:rPr>
                      <w:rFonts w:hint="default" w:ascii="Arial" w:hAnsi="Arial" w:eastAsia="宋体" w:cs="Arial"/>
                      <w:sz w:val="16"/>
                      <w:szCs w:val="18"/>
                    </w:rPr>
                    <w:t>See Note 1 for L1-RSRPs</w:t>
                  </w:r>
                </w:p>
              </w:tc>
              <w:tc>
                <w:tcPr>
                  <w:tcW w:w="1468" w:type="dxa"/>
                  <w:shd w:val="clear" w:color="auto" w:fill="auto"/>
                </w:tcPr>
                <w:p>
                  <w:pPr>
                    <w:spacing w:before="120" w:line="312" w:lineRule="auto"/>
                    <w:rPr>
                      <w:rFonts w:hint="default" w:ascii="Arial" w:hAnsi="Arial" w:eastAsia="宋体" w:cs="Arial"/>
                      <w:sz w:val="16"/>
                      <w:szCs w:val="18"/>
                    </w:rPr>
                  </w:pPr>
                  <w:r>
                    <w:rPr>
                      <w:rFonts w:hint="default" w:ascii="Arial" w:hAnsi="Arial" w:eastAsia="宋体" w:cs="Arial"/>
                      <w:sz w:val="16"/>
                      <w:szCs w:val="18"/>
                    </w:rPr>
                    <w:t>Near-real-time</w:t>
                  </w:r>
                </w:p>
              </w:tc>
              <w:tc>
                <w:tcPr>
                  <w:tcW w:w="1478" w:type="dxa"/>
                  <w:shd w:val="clear" w:color="auto" w:fill="auto"/>
                </w:tcPr>
                <w:p>
                  <w:pPr>
                    <w:spacing w:before="120" w:line="312" w:lineRule="auto"/>
                    <w:rPr>
                      <w:rFonts w:hint="default" w:ascii="Arial" w:hAnsi="Arial" w:eastAsia="宋体" w:cs="Arial"/>
                      <w:sz w:val="16"/>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7" w:hRule="atLeast"/>
              </w:trPr>
              <w:tc>
                <w:tcPr>
                  <w:tcW w:w="1141" w:type="dxa"/>
                  <w:vMerge w:val="continue"/>
                  <w:shd w:val="clear" w:color="auto" w:fill="auto"/>
                </w:tcPr>
                <w:p>
                  <w:pPr>
                    <w:spacing w:before="120" w:line="312" w:lineRule="auto"/>
                    <w:rPr>
                      <w:rFonts w:hint="default" w:ascii="Arial" w:hAnsi="Arial" w:eastAsia="宋体" w:cs="Arial"/>
                      <w:b/>
                      <w:bCs/>
                      <w:sz w:val="16"/>
                      <w:szCs w:val="18"/>
                    </w:rPr>
                  </w:pPr>
                </w:p>
              </w:tc>
              <w:tc>
                <w:tcPr>
                  <w:tcW w:w="1493" w:type="dxa"/>
                  <w:shd w:val="clear" w:color="auto" w:fill="auto"/>
                </w:tcPr>
                <w:p>
                  <w:pPr>
                    <w:spacing w:before="120" w:line="312" w:lineRule="auto"/>
                    <w:rPr>
                      <w:rFonts w:hint="default" w:ascii="Arial" w:hAnsi="Arial" w:eastAsia="宋体" w:cs="Arial"/>
                      <w:sz w:val="16"/>
                      <w:szCs w:val="18"/>
                    </w:rPr>
                  </w:pPr>
                  <w:r>
                    <w:rPr>
                      <w:rFonts w:hint="default" w:ascii="Arial" w:hAnsi="Arial" w:eastAsia="宋体" w:cs="Arial"/>
                      <w:sz w:val="16"/>
                      <w:szCs w:val="18"/>
                    </w:rPr>
                    <w:t xml:space="preserve">NW-side </w:t>
                  </w:r>
                </w:p>
              </w:tc>
              <w:tc>
                <w:tcPr>
                  <w:tcW w:w="2290" w:type="dxa"/>
                  <w:shd w:val="clear" w:color="auto" w:fill="auto"/>
                </w:tcPr>
                <w:p>
                  <w:pPr>
                    <w:spacing w:before="120" w:line="312" w:lineRule="auto"/>
                    <w:rPr>
                      <w:rFonts w:hint="default" w:ascii="Arial" w:hAnsi="Arial" w:eastAsia="宋体" w:cs="Arial"/>
                      <w:sz w:val="16"/>
                      <w:szCs w:val="18"/>
                    </w:rPr>
                  </w:pPr>
                  <w:r>
                    <w:rPr>
                      <w:rFonts w:hint="default" w:ascii="Arial" w:hAnsi="Arial" w:eastAsia="宋体" w:cs="Arial"/>
                      <w:sz w:val="16"/>
                      <w:szCs w:val="18"/>
                    </w:rPr>
                    <w:t>L1-RSRP(s) and/or beam-ID(s)</w:t>
                  </w:r>
                </w:p>
                <w:p>
                  <w:pPr>
                    <w:tabs>
                      <w:tab w:val="left" w:pos="1440"/>
                    </w:tabs>
                    <w:spacing w:line="276" w:lineRule="auto"/>
                    <w:contextualSpacing/>
                    <w:jc w:val="both"/>
                    <w:rPr>
                      <w:rFonts w:hint="default" w:ascii="Arial" w:hAnsi="Arial" w:eastAsia="宋体" w:cs="Arial"/>
                      <w:sz w:val="16"/>
                      <w:szCs w:val="18"/>
                    </w:rPr>
                  </w:pPr>
                </w:p>
                <w:p>
                  <w:pPr>
                    <w:tabs>
                      <w:tab w:val="left" w:pos="1440"/>
                    </w:tabs>
                    <w:spacing w:line="276" w:lineRule="auto"/>
                    <w:contextualSpacing/>
                    <w:jc w:val="both"/>
                    <w:rPr>
                      <w:rFonts w:hint="default" w:ascii="Arial" w:hAnsi="Arial" w:eastAsia="宋体" w:cs="Arial"/>
                      <w:sz w:val="16"/>
                      <w:szCs w:val="18"/>
                    </w:rPr>
                  </w:pPr>
                  <w:r>
                    <w:rPr>
                      <w:rFonts w:hint="default" w:ascii="Arial" w:hAnsi="Arial" w:eastAsia="Calibri" w:cs="Arial"/>
                      <w:sz w:val="16"/>
                      <w:szCs w:val="18"/>
                    </w:rPr>
                    <w:t>See Note 4</w:t>
                  </w:r>
                </w:p>
              </w:tc>
              <w:tc>
                <w:tcPr>
                  <w:tcW w:w="1748" w:type="dxa"/>
                  <w:shd w:val="clear" w:color="auto" w:fill="auto"/>
                </w:tcPr>
                <w:p>
                  <w:pPr>
                    <w:spacing w:before="120" w:line="312" w:lineRule="auto"/>
                    <w:rPr>
                      <w:rFonts w:hint="default" w:ascii="Arial" w:hAnsi="Arial" w:eastAsia="宋体" w:cs="Arial"/>
                      <w:sz w:val="16"/>
                      <w:szCs w:val="18"/>
                      <w:highlight w:val="yellow"/>
                      <w:lang w:eastAsia="zh-CN"/>
                    </w:rPr>
                  </w:pPr>
                  <w:r>
                    <w:rPr>
                      <w:rFonts w:hint="default" w:ascii="Arial" w:hAnsi="Arial" w:eastAsia="宋体" w:cs="Arial"/>
                      <w:sz w:val="16"/>
                      <w:szCs w:val="18"/>
                      <w:highlight w:val="yellow"/>
                      <w:lang w:eastAsia="zh-CN"/>
                    </w:rPr>
                    <w:t>Up to 10 bits, or up to 100 bits, or up to hundreds of bits.</w:t>
                  </w:r>
                </w:p>
                <w:p>
                  <w:pPr>
                    <w:spacing w:before="120" w:line="312" w:lineRule="auto"/>
                    <w:rPr>
                      <w:rFonts w:hint="default" w:ascii="Arial" w:hAnsi="Arial" w:eastAsia="宋体" w:cs="Arial"/>
                      <w:strike/>
                      <w:sz w:val="16"/>
                      <w:szCs w:val="18"/>
                    </w:rPr>
                  </w:pPr>
                  <w:r>
                    <w:rPr>
                      <w:rFonts w:hint="default" w:ascii="Arial" w:hAnsi="Arial" w:eastAsia="宋体" w:cs="Arial"/>
                      <w:sz w:val="16"/>
                      <w:szCs w:val="18"/>
                    </w:rPr>
                    <w:t>See Note 1 for L1-RSRPs</w:t>
                  </w:r>
                </w:p>
              </w:tc>
              <w:tc>
                <w:tcPr>
                  <w:tcW w:w="1468" w:type="dxa"/>
                  <w:shd w:val="clear" w:color="auto" w:fill="auto"/>
                </w:tcPr>
                <w:p>
                  <w:pPr>
                    <w:spacing w:before="120" w:line="312" w:lineRule="auto"/>
                    <w:rPr>
                      <w:rFonts w:hint="default" w:ascii="Arial" w:hAnsi="Arial" w:eastAsia="宋体" w:cs="Arial"/>
                      <w:sz w:val="16"/>
                      <w:szCs w:val="18"/>
                    </w:rPr>
                  </w:pPr>
                  <w:r>
                    <w:rPr>
                      <w:rFonts w:hint="default" w:ascii="Arial" w:hAnsi="Arial" w:eastAsia="宋体" w:cs="Arial"/>
                      <w:sz w:val="16"/>
                      <w:szCs w:val="18"/>
                    </w:rPr>
                    <w:t>Near-real-time</w:t>
                  </w:r>
                </w:p>
              </w:tc>
              <w:tc>
                <w:tcPr>
                  <w:tcW w:w="1478" w:type="dxa"/>
                  <w:shd w:val="clear" w:color="auto" w:fill="auto"/>
                </w:tcPr>
                <w:p>
                  <w:pPr>
                    <w:spacing w:before="120" w:line="312" w:lineRule="auto"/>
                    <w:rPr>
                      <w:rFonts w:hint="default" w:ascii="Arial" w:hAnsi="Arial" w:eastAsia="宋体" w:cs="Arial"/>
                      <w:sz w:val="16"/>
                      <w:szCs w:val="18"/>
                    </w:rPr>
                  </w:pPr>
                </w:p>
              </w:tc>
            </w:tr>
          </w:tbl>
          <w:p>
            <w:pPr>
              <w:rPr>
                <w:rFonts w:hint="default" w:ascii="Arial" w:hAnsi="Arial" w:cs="Arial"/>
                <w:i/>
                <w:iCs/>
                <w:sz w:val="16"/>
                <w:szCs w:val="18"/>
              </w:rPr>
            </w:pPr>
            <w:r>
              <w:rPr>
                <w:rFonts w:hint="default" w:ascii="Arial" w:hAnsi="Arial" w:cs="Arial"/>
                <w:i/>
                <w:iCs/>
                <w:sz w:val="16"/>
                <w:szCs w:val="18"/>
              </w:rPr>
              <w:t>Note 1: There is no agreement on the data size of L1-RSRPs for Set A or Set B, but the following typical data size is provided as guidance for RAN2 discussion. Based on existing L1-RSRP reporting methodology, i.e., 7 bits for the strongest beam and 4 bits for the remaining beams, for Set B = 16 as an example, the typical data size would be 67 (</w:t>
            </w:r>
            <w:r>
              <w:rPr>
                <w:rFonts w:hint="default" w:ascii="Arial" w:hAnsi="Arial" w:cs="Arial"/>
                <w:i/>
                <w:iCs/>
                <w:sz w:val="16"/>
                <w:szCs w:val="18"/>
                <w:highlight w:val="yellow"/>
              </w:rPr>
              <w:t>hence up to ~100 bits</w:t>
            </w:r>
            <w:r>
              <w:rPr>
                <w:rFonts w:hint="default" w:ascii="Arial" w:hAnsi="Arial" w:cs="Arial"/>
                <w:i/>
                <w:iCs/>
                <w:sz w:val="16"/>
                <w:szCs w:val="18"/>
              </w:rPr>
              <w:t>), and for Set A = 128 as an example, the typical data size would be 515 (</w:t>
            </w:r>
            <w:r>
              <w:rPr>
                <w:rFonts w:hint="default" w:ascii="Arial" w:hAnsi="Arial" w:cs="Arial"/>
                <w:i/>
                <w:iCs/>
                <w:sz w:val="16"/>
                <w:szCs w:val="18"/>
                <w:highlight w:val="yellow"/>
              </w:rPr>
              <w:t>hence up to ~500 bits</w:t>
            </w:r>
            <w:r>
              <w:rPr>
                <w:rFonts w:hint="default" w:ascii="Arial" w:hAnsi="Arial" w:cs="Arial"/>
                <w:i/>
                <w:iCs/>
                <w:sz w:val="16"/>
                <w:szCs w:val="18"/>
              </w:rPr>
              <w:t xml:space="preserve">) if all beams in Set A were to be collected. </w:t>
            </w:r>
            <w:r>
              <w:rPr>
                <w:rFonts w:hint="default" w:ascii="Arial" w:hAnsi="Arial" w:eastAsia="宋体" w:cs="Arial"/>
                <w:i/>
                <w:iCs/>
                <w:sz w:val="16"/>
                <w:szCs w:val="18"/>
              </w:rPr>
              <w:t>For BM Case 2, the data size L1-RSRPs for Set A and Set B represents the data size per predicted future time instance and per history measurement time instance, respectively. Payload size may not be fixed.</w:t>
            </w:r>
          </w:p>
          <w:p>
            <w:pPr>
              <w:pStyle w:val="8"/>
              <w:rPr>
                <w:rFonts w:hint="default" w:ascii="Arial" w:hAnsi="Arial" w:cs="Arial"/>
                <w:i/>
                <w:iCs/>
                <w:sz w:val="16"/>
                <w:szCs w:val="18"/>
              </w:rPr>
            </w:pPr>
            <w:r>
              <w:rPr>
                <w:rStyle w:val="32"/>
                <w:rFonts w:hint="default" w:ascii="Arial" w:hAnsi="Arial" w:cs="Arial"/>
                <w:i/>
                <w:iCs/>
                <w:sz w:val="16"/>
                <w:szCs w:val="18"/>
              </w:rPr>
              <w:t xml:space="preserve">Note 4: </w:t>
            </w:r>
            <w:r>
              <w:rPr>
                <w:rFonts w:hint="default" w:ascii="Arial" w:hAnsi="Arial" w:cs="Arial"/>
                <w:i/>
                <w:iCs/>
                <w:sz w:val="16"/>
                <w:szCs w:val="18"/>
              </w:rPr>
              <w:t>Feasibility and necessity of the monitoring schemes listed in the table are under discussion.</w:t>
            </w:r>
          </w:p>
          <w:p>
            <w:pPr>
              <w:pStyle w:val="8"/>
              <w:rPr>
                <w:rFonts w:hint="default" w:ascii="Arial" w:hAnsi="Arial" w:cs="Arial"/>
                <w:i/>
                <w:iCs/>
                <w:sz w:val="16"/>
                <w:szCs w:val="18"/>
              </w:rPr>
            </w:pPr>
          </w:p>
          <w:p>
            <w:pPr>
              <w:pStyle w:val="22"/>
              <w:spacing w:line="360" w:lineRule="auto"/>
              <w:ind w:left="0" w:leftChars="0" w:firstLine="0" w:firstLineChars="0"/>
              <w:jc w:val="both"/>
              <w:rPr>
                <w:rFonts w:hint="default" w:ascii="Arial" w:hAnsi="Arial" w:eastAsia="等线" w:cs="Arial"/>
                <w:b/>
                <w:bCs/>
                <w:sz w:val="16"/>
                <w:szCs w:val="16"/>
                <w:lang w:val="en-US" w:eastAsia="zh-CN"/>
              </w:rPr>
            </w:pPr>
            <w:r>
              <w:rPr>
                <w:rFonts w:hint="default" w:ascii="Arial" w:hAnsi="Arial" w:eastAsia="等线" w:cs="Arial"/>
                <w:b/>
                <w:bCs/>
                <w:sz w:val="16"/>
                <w:szCs w:val="16"/>
                <w:lang w:eastAsia="zh-CN"/>
              </w:rPr>
              <w:t>For positioning</w:t>
            </w:r>
            <w:r>
              <w:rPr>
                <w:rFonts w:hint="eastAsia" w:ascii="Arial" w:hAnsi="Arial" w:eastAsia="等线" w:cs="Arial"/>
                <w:b/>
                <w:bCs/>
                <w:sz w:val="16"/>
                <w:szCs w:val="16"/>
                <w:lang w:val="en-US" w:eastAsia="zh-CN"/>
              </w:rPr>
              <w:t>:</w:t>
            </w:r>
          </w:p>
          <w:tbl>
            <w:tblPr>
              <w:tblStyle w:val="13"/>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0"/>
              <w:gridCol w:w="1073"/>
              <w:gridCol w:w="1819"/>
              <w:gridCol w:w="2466"/>
              <w:gridCol w:w="1511"/>
              <w:gridCol w:w="16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160" w:type="dxa"/>
                  <w:shd w:val="clear" w:color="auto" w:fill="auto"/>
                </w:tcPr>
                <w:p>
                  <w:pPr>
                    <w:snapToGrid w:val="0"/>
                    <w:spacing w:before="100" w:beforeAutospacing="1" w:after="120"/>
                    <w:rPr>
                      <w:rFonts w:hint="default" w:ascii="Arial" w:hAnsi="Arial" w:cs="Arial"/>
                      <w:b/>
                      <w:bCs/>
                      <w:sz w:val="16"/>
                      <w:szCs w:val="18"/>
                    </w:rPr>
                  </w:pPr>
                  <w:r>
                    <w:rPr>
                      <w:rFonts w:hint="default" w:ascii="Arial" w:hAnsi="Arial" w:cs="Arial"/>
                      <w:b/>
                      <w:bCs/>
                      <w:sz w:val="16"/>
                      <w:szCs w:val="18"/>
                    </w:rPr>
                    <w:t>LCM purpose</w:t>
                  </w:r>
                </w:p>
              </w:tc>
              <w:tc>
                <w:tcPr>
                  <w:tcW w:w="1073" w:type="dxa"/>
                  <w:shd w:val="clear" w:color="auto" w:fill="auto"/>
                </w:tcPr>
                <w:p>
                  <w:pPr>
                    <w:snapToGrid w:val="0"/>
                    <w:spacing w:before="100" w:beforeAutospacing="1" w:after="120"/>
                    <w:rPr>
                      <w:rFonts w:hint="default" w:ascii="Arial" w:hAnsi="Arial" w:cs="Arial"/>
                      <w:b/>
                      <w:bCs/>
                      <w:sz w:val="16"/>
                      <w:szCs w:val="18"/>
                    </w:rPr>
                  </w:pPr>
                  <w:r>
                    <w:rPr>
                      <w:rFonts w:hint="default" w:ascii="Arial" w:hAnsi="Arial" w:cs="Arial"/>
                      <w:b/>
                      <w:bCs/>
                      <w:sz w:val="16"/>
                      <w:szCs w:val="18"/>
                    </w:rPr>
                    <w:t>Case</w:t>
                  </w:r>
                </w:p>
              </w:tc>
              <w:tc>
                <w:tcPr>
                  <w:tcW w:w="1819" w:type="dxa"/>
                  <w:shd w:val="clear" w:color="auto" w:fill="auto"/>
                </w:tcPr>
                <w:p>
                  <w:pPr>
                    <w:snapToGrid w:val="0"/>
                    <w:spacing w:before="100" w:beforeAutospacing="1" w:after="120"/>
                    <w:rPr>
                      <w:rFonts w:hint="default" w:ascii="Arial" w:hAnsi="Arial" w:cs="Arial"/>
                      <w:b/>
                      <w:bCs/>
                      <w:sz w:val="16"/>
                      <w:szCs w:val="18"/>
                    </w:rPr>
                  </w:pPr>
                  <w:r>
                    <w:rPr>
                      <w:rFonts w:hint="default" w:ascii="Arial" w:hAnsi="Arial" w:cs="Arial"/>
                      <w:b/>
                      <w:bCs/>
                      <w:sz w:val="16"/>
                      <w:szCs w:val="18"/>
                    </w:rPr>
                    <w:t>Data content</w:t>
                  </w:r>
                </w:p>
              </w:tc>
              <w:tc>
                <w:tcPr>
                  <w:tcW w:w="2466" w:type="dxa"/>
                  <w:shd w:val="clear" w:color="auto" w:fill="auto"/>
                </w:tcPr>
                <w:p>
                  <w:pPr>
                    <w:snapToGrid w:val="0"/>
                    <w:spacing w:before="100" w:beforeAutospacing="1" w:after="120"/>
                    <w:rPr>
                      <w:rFonts w:hint="default" w:ascii="Arial" w:hAnsi="Arial" w:cs="Arial"/>
                      <w:b/>
                      <w:bCs/>
                      <w:sz w:val="16"/>
                      <w:szCs w:val="18"/>
                    </w:rPr>
                  </w:pPr>
                  <w:r>
                    <w:rPr>
                      <w:rFonts w:hint="default" w:ascii="Arial" w:hAnsi="Arial" w:cs="Arial"/>
                      <w:b/>
                      <w:bCs/>
                      <w:sz w:val="16"/>
                      <w:szCs w:val="18"/>
                    </w:rPr>
                    <w:t>Typical data size (per data sample)</w:t>
                  </w:r>
                </w:p>
              </w:tc>
              <w:tc>
                <w:tcPr>
                  <w:tcW w:w="1511" w:type="dxa"/>
                  <w:shd w:val="clear" w:color="auto" w:fill="auto"/>
                </w:tcPr>
                <w:p>
                  <w:pPr>
                    <w:snapToGrid w:val="0"/>
                    <w:spacing w:before="100" w:beforeAutospacing="1" w:after="120"/>
                    <w:rPr>
                      <w:rFonts w:hint="default" w:ascii="Arial" w:hAnsi="Arial" w:cs="Arial"/>
                      <w:b/>
                      <w:bCs/>
                      <w:sz w:val="16"/>
                      <w:szCs w:val="18"/>
                    </w:rPr>
                  </w:pPr>
                  <w:r>
                    <w:rPr>
                      <w:rFonts w:hint="default" w:ascii="Arial" w:hAnsi="Arial" w:cs="Arial"/>
                      <w:b/>
                      <w:bCs/>
                      <w:sz w:val="16"/>
                      <w:szCs w:val="18"/>
                    </w:rPr>
                    <w:t>Typical latency requirement</w:t>
                  </w:r>
                </w:p>
              </w:tc>
              <w:tc>
                <w:tcPr>
                  <w:tcW w:w="1608" w:type="dxa"/>
                  <w:shd w:val="clear" w:color="auto" w:fill="auto"/>
                </w:tcPr>
                <w:p>
                  <w:pPr>
                    <w:snapToGrid w:val="0"/>
                    <w:spacing w:before="100" w:beforeAutospacing="1" w:after="120"/>
                    <w:rPr>
                      <w:rFonts w:hint="default" w:ascii="Arial" w:hAnsi="Arial" w:cs="Arial"/>
                      <w:b/>
                      <w:bCs/>
                      <w:sz w:val="16"/>
                      <w:szCs w:val="18"/>
                    </w:rPr>
                  </w:pPr>
                  <w:r>
                    <w:rPr>
                      <w:rFonts w:hint="default" w:ascii="Arial" w:hAnsi="Arial" w:cs="Arial"/>
                      <w:b/>
                      <w:bCs/>
                      <w:sz w:val="16"/>
                      <w:szCs w:val="18"/>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60" w:type="dxa"/>
                  <w:shd w:val="clear" w:color="auto" w:fill="auto"/>
                </w:tcPr>
                <w:p>
                  <w:pPr>
                    <w:snapToGrid w:val="0"/>
                    <w:spacing w:before="100" w:beforeAutospacing="1" w:after="120"/>
                    <w:rPr>
                      <w:rFonts w:hint="default" w:ascii="Arial" w:hAnsi="Arial" w:eastAsia="宋体" w:cs="Arial"/>
                      <w:bCs/>
                      <w:sz w:val="16"/>
                      <w:szCs w:val="18"/>
                    </w:rPr>
                  </w:pPr>
                  <w:r>
                    <w:rPr>
                      <w:rFonts w:hint="default" w:ascii="Arial" w:hAnsi="Arial" w:eastAsia="宋体" w:cs="Arial"/>
                      <w:bCs/>
                      <w:sz w:val="16"/>
                      <w:szCs w:val="18"/>
                    </w:rPr>
                    <w:t>Monitoring</w:t>
                  </w:r>
                </w:p>
              </w:tc>
              <w:tc>
                <w:tcPr>
                  <w:tcW w:w="1073" w:type="dxa"/>
                  <w:shd w:val="clear" w:color="auto" w:fill="auto"/>
                </w:tcPr>
                <w:p>
                  <w:pPr>
                    <w:snapToGrid w:val="0"/>
                    <w:spacing w:before="100" w:beforeAutospacing="1" w:after="120"/>
                    <w:rPr>
                      <w:rFonts w:hint="default" w:ascii="Arial" w:hAnsi="Arial" w:cs="Arial"/>
                      <w:color w:val="FF0000"/>
                      <w:sz w:val="16"/>
                      <w:szCs w:val="18"/>
                    </w:rPr>
                  </w:pPr>
                  <w:r>
                    <w:rPr>
                      <w:rFonts w:hint="default" w:ascii="Arial" w:hAnsi="Arial" w:cs="Arial"/>
                      <w:sz w:val="16"/>
                      <w:szCs w:val="18"/>
                    </w:rPr>
                    <w:t>All Cases</w:t>
                  </w:r>
                </w:p>
              </w:tc>
              <w:tc>
                <w:tcPr>
                  <w:tcW w:w="1819" w:type="dxa"/>
                  <w:shd w:val="clear" w:color="auto" w:fill="auto"/>
                </w:tcPr>
                <w:p>
                  <w:pPr>
                    <w:rPr>
                      <w:rFonts w:hint="default" w:ascii="Arial" w:hAnsi="Arial" w:cs="Arial"/>
                      <w:sz w:val="16"/>
                      <w:szCs w:val="18"/>
                    </w:rPr>
                  </w:pPr>
                  <w:r>
                    <w:rPr>
                      <w:rFonts w:hint="default" w:ascii="Arial" w:hAnsi="Arial" w:cs="Arial"/>
                      <w:sz w:val="16"/>
                      <w:szCs w:val="18"/>
                    </w:rPr>
                    <w:t>See Note 8</w:t>
                  </w:r>
                </w:p>
              </w:tc>
              <w:tc>
                <w:tcPr>
                  <w:tcW w:w="2466" w:type="dxa"/>
                  <w:shd w:val="clear" w:color="auto" w:fill="auto"/>
                </w:tcPr>
                <w:p>
                  <w:pPr>
                    <w:rPr>
                      <w:rFonts w:hint="default" w:ascii="Arial" w:hAnsi="Arial" w:cs="Arial"/>
                      <w:sz w:val="16"/>
                      <w:szCs w:val="18"/>
                    </w:rPr>
                  </w:pPr>
                  <w:r>
                    <w:rPr>
                      <w:rFonts w:hint="default" w:ascii="Arial" w:hAnsi="Arial" w:cs="Arial"/>
                      <w:sz w:val="16"/>
                      <w:szCs w:val="18"/>
                    </w:rPr>
                    <w:t>See Note 8</w:t>
                  </w:r>
                </w:p>
              </w:tc>
              <w:tc>
                <w:tcPr>
                  <w:tcW w:w="1511" w:type="dxa"/>
                  <w:shd w:val="clear" w:color="auto" w:fill="auto"/>
                </w:tcPr>
                <w:p>
                  <w:pPr>
                    <w:snapToGrid w:val="0"/>
                    <w:spacing w:before="100" w:beforeAutospacing="1" w:after="120"/>
                    <w:rPr>
                      <w:rFonts w:hint="default" w:ascii="Arial" w:hAnsi="Arial" w:cs="Arial"/>
                      <w:sz w:val="16"/>
                      <w:szCs w:val="18"/>
                    </w:rPr>
                  </w:pPr>
                  <w:r>
                    <w:rPr>
                      <w:rFonts w:hint="default" w:ascii="Arial" w:hAnsi="Arial" w:cs="Arial"/>
                      <w:sz w:val="16"/>
                      <w:szCs w:val="18"/>
                    </w:rPr>
                    <w:t>Near-real-time</w:t>
                  </w:r>
                </w:p>
              </w:tc>
              <w:tc>
                <w:tcPr>
                  <w:tcW w:w="1608" w:type="dxa"/>
                  <w:shd w:val="clear" w:color="auto" w:fill="auto"/>
                </w:tcPr>
                <w:p>
                  <w:pPr>
                    <w:snapToGrid w:val="0"/>
                    <w:spacing w:before="100" w:beforeAutospacing="1" w:after="120"/>
                    <w:rPr>
                      <w:rFonts w:hint="default" w:ascii="Arial" w:hAnsi="Arial" w:cs="Arial"/>
                      <w:sz w:val="16"/>
                      <w:szCs w:val="18"/>
                    </w:rPr>
                  </w:pPr>
                  <w:r>
                    <w:rPr>
                      <w:rFonts w:hint="default" w:ascii="Arial" w:hAnsi="Arial" w:cs="Arial"/>
                      <w:sz w:val="16"/>
                      <w:szCs w:val="18"/>
                    </w:rPr>
                    <w:t>See Note 6 and 7</w:t>
                  </w:r>
                </w:p>
              </w:tc>
            </w:tr>
          </w:tbl>
          <w:p>
            <w:pPr>
              <w:rPr>
                <w:rFonts w:hint="default" w:ascii="Arial" w:hAnsi="Arial" w:cs="Arial"/>
                <w:i/>
                <w:iCs/>
                <w:sz w:val="16"/>
                <w:szCs w:val="16"/>
              </w:rPr>
            </w:pPr>
            <w:r>
              <w:rPr>
                <w:rFonts w:hint="default" w:ascii="Arial" w:hAnsi="Arial" w:cs="Arial"/>
                <w:i/>
                <w:iCs/>
                <w:sz w:val="16"/>
                <w:szCs w:val="16"/>
              </w:rPr>
              <w:t>Note 6: RAN1 agreed on an initial listing of entities that can derive the monitoring metric for AI/ML positioning for different cases (Case1 to Case3b):</w:t>
            </w:r>
          </w:p>
          <w:p>
            <w:pPr>
              <w:rPr>
                <w:rFonts w:hint="default" w:ascii="Arial" w:hAnsi="Arial" w:cs="Arial"/>
                <w:i/>
                <w:iCs/>
                <w:sz w:val="16"/>
                <w:szCs w:val="16"/>
              </w:rPr>
            </w:pPr>
            <w:r>
              <w:rPr>
                <w:rFonts w:hint="default" w:ascii="Arial" w:hAnsi="Arial" w:cs="Arial"/>
                <w:i/>
                <w:iCs/>
                <w:sz w:val="16"/>
                <w:szCs w:val="16"/>
              </w:rPr>
              <w:t xml:space="preserve"> -1: At least UE derives monitoring metric</w:t>
            </w:r>
          </w:p>
          <w:p>
            <w:pPr>
              <w:rPr>
                <w:rFonts w:hint="default" w:ascii="Arial" w:hAnsi="Arial" w:cs="Arial"/>
                <w:i/>
                <w:iCs/>
                <w:sz w:val="16"/>
                <w:szCs w:val="16"/>
              </w:rPr>
            </w:pPr>
            <w:r>
              <w:rPr>
                <w:rFonts w:hint="default" w:ascii="Arial" w:hAnsi="Arial" w:cs="Arial"/>
                <w:i/>
                <w:iCs/>
                <w:sz w:val="16"/>
                <w:szCs w:val="16"/>
              </w:rPr>
              <w:t xml:space="preserve"> -2a: At least UE derives monitoring metric</w:t>
            </w:r>
          </w:p>
          <w:p>
            <w:pPr>
              <w:rPr>
                <w:rFonts w:hint="default" w:ascii="Arial" w:hAnsi="Arial" w:cs="Arial"/>
                <w:i/>
                <w:iCs/>
                <w:sz w:val="16"/>
                <w:szCs w:val="16"/>
              </w:rPr>
            </w:pPr>
            <w:r>
              <w:rPr>
                <w:rFonts w:hint="default" w:ascii="Arial" w:hAnsi="Arial" w:cs="Arial"/>
                <w:i/>
                <w:iCs/>
                <w:sz w:val="16"/>
                <w:szCs w:val="16"/>
              </w:rPr>
              <w:t xml:space="preserve">     - LMF (if monitoring based on ground truth)</w:t>
            </w:r>
          </w:p>
          <w:p>
            <w:pPr>
              <w:rPr>
                <w:rFonts w:hint="default" w:ascii="Arial" w:hAnsi="Arial" w:cs="Arial"/>
                <w:i/>
                <w:iCs/>
                <w:sz w:val="16"/>
                <w:szCs w:val="16"/>
              </w:rPr>
            </w:pPr>
            <w:r>
              <w:rPr>
                <w:rFonts w:hint="default" w:ascii="Arial" w:hAnsi="Arial" w:cs="Arial"/>
                <w:i/>
                <w:iCs/>
                <w:sz w:val="16"/>
                <w:szCs w:val="16"/>
              </w:rPr>
              <w:t xml:space="preserve"> -3a: At least gNB/TRP derives monitoring metric</w:t>
            </w:r>
          </w:p>
          <w:p>
            <w:pPr>
              <w:rPr>
                <w:rFonts w:hint="default" w:ascii="Arial" w:hAnsi="Arial" w:cs="Arial"/>
                <w:i/>
                <w:iCs/>
                <w:sz w:val="16"/>
                <w:szCs w:val="16"/>
              </w:rPr>
            </w:pPr>
            <w:r>
              <w:rPr>
                <w:rFonts w:hint="default" w:ascii="Arial" w:hAnsi="Arial" w:cs="Arial"/>
                <w:i/>
                <w:iCs/>
                <w:sz w:val="16"/>
                <w:szCs w:val="16"/>
              </w:rPr>
              <w:t xml:space="preserve">     - LMF (if monitoring based on ground truth)</w:t>
            </w:r>
          </w:p>
          <w:p>
            <w:pPr>
              <w:rPr>
                <w:rFonts w:hint="default" w:ascii="Arial" w:hAnsi="Arial" w:cs="Arial"/>
                <w:i/>
                <w:iCs/>
                <w:sz w:val="16"/>
                <w:szCs w:val="16"/>
              </w:rPr>
            </w:pPr>
            <w:r>
              <w:rPr>
                <w:rFonts w:hint="default" w:ascii="Arial" w:hAnsi="Arial" w:cs="Arial"/>
                <w:i/>
                <w:iCs/>
                <w:sz w:val="16"/>
                <w:szCs w:val="16"/>
              </w:rPr>
              <w:t xml:space="preserve"> -2b and 3b: At least LMF derives monitoring metric </w:t>
            </w:r>
          </w:p>
          <w:p>
            <w:pPr>
              <w:rPr>
                <w:rFonts w:hint="default" w:ascii="Arial" w:hAnsi="Arial" w:cs="Arial"/>
                <w:i/>
                <w:iCs/>
                <w:sz w:val="16"/>
                <w:szCs w:val="16"/>
              </w:rPr>
            </w:pPr>
            <w:r>
              <w:rPr>
                <w:rFonts w:hint="default" w:ascii="Arial" w:hAnsi="Arial" w:cs="Arial"/>
                <w:i/>
                <w:iCs/>
                <w:sz w:val="16"/>
                <w:szCs w:val="16"/>
              </w:rPr>
              <w:t xml:space="preserve">Note 7: </w:t>
            </w:r>
            <w:r>
              <w:rPr>
                <w:rFonts w:hint="default" w:ascii="Arial" w:hAnsi="Arial" w:cs="Arial"/>
                <w:i/>
                <w:iCs/>
                <w:sz w:val="16"/>
                <w:szCs w:val="16"/>
                <w:highlight w:val="yellow"/>
              </w:rPr>
              <w:t>No agreement yet on a monitoring decision entity or their mapping to other entities</w:t>
            </w:r>
            <w:r>
              <w:rPr>
                <w:rFonts w:hint="default" w:ascii="Arial" w:hAnsi="Arial" w:cs="Arial"/>
                <w:i/>
                <w:iCs/>
                <w:sz w:val="16"/>
                <w:szCs w:val="16"/>
              </w:rPr>
              <w:t xml:space="preserve"> (e.g., entity running the inference, entity deriving the monitoring metric, etc.).</w:t>
            </w:r>
          </w:p>
          <w:p>
            <w:pPr>
              <w:pStyle w:val="8"/>
              <w:rPr>
                <w:rFonts w:hint="default" w:ascii="Arial" w:hAnsi="Arial" w:cs="Arial"/>
                <w:i/>
                <w:iCs/>
                <w:sz w:val="16"/>
                <w:szCs w:val="18"/>
                <w:lang w:val="en-US" w:eastAsia="zh-CN"/>
              </w:rPr>
            </w:pPr>
            <w:r>
              <w:rPr>
                <w:rFonts w:hint="default" w:ascii="Arial" w:hAnsi="Arial" w:cs="Arial"/>
                <w:i/>
                <w:iCs/>
                <w:sz w:val="16"/>
                <w:szCs w:val="16"/>
              </w:rPr>
              <w:t xml:space="preserve">Note 8: </w:t>
            </w:r>
            <w:r>
              <w:rPr>
                <w:rFonts w:hint="default" w:ascii="Arial" w:hAnsi="Arial" w:cs="Arial"/>
                <w:i/>
                <w:iCs/>
                <w:sz w:val="16"/>
                <w:szCs w:val="16"/>
                <w:highlight w:val="yellow"/>
              </w:rPr>
              <w:t>RAN1 has studied several types of related statistics where potential request/report of Monitoring related statistics and its necessity are for further discussion</w:t>
            </w:r>
            <w:r>
              <w:rPr>
                <w:rFonts w:hint="default" w:ascii="Arial" w:hAnsi="Arial" w:cs="Arial"/>
                <w:i/>
                <w:iCs/>
                <w:sz w:val="16"/>
                <w:szCs w:val="16"/>
              </w:rPr>
              <w:t xml:space="preserve">. </w:t>
            </w:r>
          </w:p>
        </w:tc>
      </w:tr>
    </w:tbl>
    <w:p>
      <w:pPr>
        <w:pStyle w:val="8"/>
        <w:rPr>
          <w:rFonts w:hint="default" w:ascii="Arial" w:hAnsi="Arial" w:eastAsia="等线" w:cs="Arial"/>
          <w:sz w:val="20"/>
          <w:szCs w:val="21"/>
          <w:lang w:val="en-US" w:eastAsia="zh-CN"/>
        </w:rPr>
      </w:pPr>
    </w:p>
    <w:p>
      <w:pPr>
        <w:pStyle w:val="8"/>
        <w:rPr>
          <w:rFonts w:hint="default" w:ascii="Arial" w:hAnsi="Arial" w:eastAsia="等线" w:cs="Arial"/>
          <w:b w:val="0"/>
          <w:bCs w:val="0"/>
          <w:sz w:val="20"/>
          <w:szCs w:val="21"/>
          <w:lang w:val="en-US" w:eastAsia="zh-CN"/>
        </w:rPr>
      </w:pPr>
      <w:r>
        <w:rPr>
          <w:rFonts w:hint="eastAsia" w:ascii="Arial" w:hAnsi="Arial" w:eastAsia="等线" w:cs="Arial"/>
          <w:sz w:val="20"/>
          <w:szCs w:val="21"/>
          <w:lang w:val="en-US" w:eastAsia="zh-CN"/>
        </w:rPr>
        <w:t>Similar to the analysis on model training, we think that the existing framework (with some enhancements) can support the data collection for model monitoring per data sample for CSI compression, CSI prediction and beam management. For positioning, even though RAN1 has no agreements on model monitoring, LPP protocol can be applied. Therefore,</w:t>
      </w:r>
      <w:r>
        <w:rPr>
          <w:rFonts w:hint="eastAsia" w:ascii="Arial" w:hAnsi="Arial" w:eastAsia="等线" w:cs="Arial"/>
          <w:b w:val="0"/>
          <w:bCs w:val="0"/>
          <w:sz w:val="20"/>
          <w:szCs w:val="21"/>
          <w:lang w:val="en-US" w:eastAsia="zh-CN"/>
        </w:rPr>
        <w:t xml:space="preserve"> we prefer to further study the following data collection frameworks and down-selection in WI phase.</w:t>
      </w:r>
    </w:p>
    <w:p>
      <w:pPr>
        <w:spacing w:before="120" w:beforeLines="50" w:after="120" w:line="260" w:lineRule="exact"/>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3: For model monitoring, RAN2 further study the following data collection frameworks for each use case:</w:t>
      </w:r>
    </w:p>
    <w:p>
      <w:pPr>
        <w:spacing w:before="120" w:beforeLines="50" w:after="120" w:line="260" w:lineRule="exact"/>
        <w:ind w:firstLine="420" w:firstLineChars="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For CSI feedback: MDT, L3 reporting, UAI</w:t>
      </w:r>
    </w:p>
    <w:p>
      <w:pPr>
        <w:spacing w:before="120" w:beforeLines="50" w:after="120" w:line="260" w:lineRule="exact"/>
        <w:ind w:firstLine="420" w:firstLineChars="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For beam management: L1 reporting, L3 measurement, MDT, UAI</w:t>
      </w:r>
    </w:p>
    <w:p>
      <w:pPr>
        <w:spacing w:before="120" w:beforeLines="50" w:after="120" w:line="260" w:lineRule="exact"/>
        <w:ind w:firstLine="420" w:firstLineChars="0"/>
        <w:rPr>
          <w:rFonts w:hint="default" w:ascii="Arial" w:hAnsi="Arial" w:eastAsia="宋体" w:cs="Arial"/>
          <w:b/>
          <w:bCs/>
          <w:kern w:val="0"/>
          <w:szCs w:val="21"/>
          <w:lang w:val="en-US" w:eastAsia="zh-CN"/>
        </w:rPr>
      </w:pPr>
      <w:r>
        <w:rPr>
          <w:rFonts w:hint="eastAsia" w:ascii="Arial" w:hAnsi="Arial" w:eastAsia="宋体" w:cs="Arial"/>
          <w:b/>
          <w:bCs/>
          <w:kern w:val="0"/>
          <w:sz w:val="20"/>
          <w:szCs w:val="20"/>
          <w:lang w:val="en-US" w:eastAsia="zh-CN"/>
        </w:rPr>
        <w:t xml:space="preserve">- For positioning: </w:t>
      </w:r>
      <w:r>
        <w:rPr>
          <w:rFonts w:hint="eastAsia" w:ascii="Arial" w:hAnsi="Arial" w:eastAsia="宋体" w:cs="Arial"/>
          <w:b/>
          <w:bCs/>
          <w:kern w:val="0"/>
          <w:sz w:val="20"/>
          <w:szCs w:val="20"/>
          <w:highlight w:val="none"/>
          <w:lang w:val="en-US" w:eastAsia="zh-CN"/>
        </w:rPr>
        <w:t>LPP</w:t>
      </w:r>
    </w:p>
    <w:p>
      <w:pPr>
        <w:widowControl/>
        <w:spacing w:before="120" w:beforeLines="50" w:after="180"/>
        <w:rPr>
          <w:rFonts w:hint="default" w:ascii="Arial" w:hAnsi="Arial" w:eastAsia="宋体" w:cs="Arial"/>
          <w:b/>
          <w:bCs/>
          <w:kern w:val="0"/>
          <w:szCs w:val="21"/>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 xml:space="preserve">Here are the </w:t>
      </w:r>
      <w:r>
        <w:rPr>
          <w:rFonts w:hint="eastAsia" w:ascii="Arial" w:hAnsi="Arial" w:eastAsia="宋体" w:cs="Arial"/>
          <w:kern w:val="0"/>
          <w:sz w:val="20"/>
          <w:szCs w:val="20"/>
        </w:rPr>
        <w:t xml:space="preserve">observations and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lang w:val="en-US" w:eastAsia="zh-CN"/>
        </w:rPr>
        <w:t>data collection</w:t>
      </w:r>
      <w:r>
        <w:rPr>
          <w:rFonts w:hint="eastAsia" w:ascii="Arial" w:hAnsi="Arial" w:eastAsia="宋体" w:cs="Arial"/>
          <w:kern w:val="0"/>
          <w:sz w:val="20"/>
          <w:szCs w:val="20"/>
        </w:rPr>
        <w:t xml:space="preserve"> for AI/ML </w:t>
      </w:r>
      <w:r>
        <w:rPr>
          <w:rFonts w:hint="eastAsia" w:ascii="Arial" w:hAnsi="Arial" w:eastAsia="宋体" w:cs="Arial"/>
          <w:kern w:val="0"/>
          <w:sz w:val="20"/>
          <w:szCs w:val="20"/>
          <w:lang w:val="en-US" w:eastAsia="zh-CN"/>
        </w:rPr>
        <w:t>models</w:t>
      </w:r>
      <w:r>
        <w:rPr>
          <w:rFonts w:ascii="Arial" w:hAnsi="Arial" w:eastAsia="宋体" w:cs="Arial"/>
          <w:kern w:val="0"/>
          <w:sz w:val="20"/>
          <w:szCs w:val="20"/>
          <w:lang w:val="en-GB" w:eastAsia="en-US"/>
        </w:rPr>
        <w:t>.</w:t>
      </w:r>
    </w:p>
    <w:p>
      <w:pPr>
        <w:widowControl/>
        <w:spacing w:after="180"/>
        <w:rPr>
          <w:rFonts w:hint="eastAsia" w:ascii="Arial" w:hAnsi="Arial" w:eastAsia="宋体" w:cs="Arial"/>
          <w:b/>
          <w:bCs/>
          <w:kern w:val="0"/>
          <w:szCs w:val="21"/>
          <w:u w:val="single"/>
          <w:lang w:val="en-US" w:eastAsia="zh-CN"/>
        </w:rPr>
      </w:pPr>
      <w:r>
        <w:rPr>
          <w:rFonts w:hint="eastAsia" w:ascii="Arial" w:hAnsi="Arial" w:eastAsia="宋体" w:cs="Arial"/>
          <w:b/>
          <w:bCs/>
          <w:kern w:val="0"/>
          <w:szCs w:val="21"/>
          <w:u w:val="single"/>
          <w:lang w:val="en-US" w:eastAsia="zh-CN"/>
        </w:rPr>
        <w:t>Data collection for model training:</w:t>
      </w:r>
    </w:p>
    <w:p>
      <w:pPr>
        <w:pStyle w:val="8"/>
        <w:jc w:val="both"/>
        <w:rPr>
          <w:rFonts w:hint="eastAsia" w:ascii="Arial" w:hAnsi="Arial" w:eastAsia="等线" w:cs="Arial"/>
          <w:b w:val="0"/>
          <w:bCs w:val="0"/>
          <w:sz w:val="20"/>
          <w:szCs w:val="21"/>
          <w:lang w:val="en-US" w:eastAsia="zh-CN"/>
        </w:rPr>
      </w:pPr>
      <w:r>
        <w:rPr>
          <w:rFonts w:hint="eastAsia" w:ascii="Arial" w:hAnsi="Arial" w:eastAsia="等线" w:cs="Arial"/>
          <w:b w:val="0"/>
          <w:bCs w:val="0"/>
          <w:sz w:val="20"/>
          <w:szCs w:val="21"/>
          <w:lang w:val="en-US" w:eastAsia="zh-CN"/>
        </w:rPr>
        <w:t>Observation 1: The typical data size for model training per data sample would be about 10s of bits to a few 1000bits even ~150Kbits for CSI compression, beam management and positioning.</w:t>
      </w:r>
    </w:p>
    <w:p>
      <w:pPr>
        <w:spacing w:before="120" w:beforeLines="50" w:after="120" w:line="260" w:lineRule="exact"/>
        <w:rPr>
          <w:rFonts w:hint="eastAsia" w:ascii="Arial" w:hAnsi="Arial" w:eastAsia="等线" w:cs="Arial"/>
          <w:b w:val="0"/>
          <w:bCs w:val="0"/>
          <w:sz w:val="20"/>
          <w:szCs w:val="21"/>
          <w:lang w:val="en-US" w:eastAsia="zh-CN"/>
        </w:rPr>
      </w:pPr>
      <w:r>
        <w:rPr>
          <w:rFonts w:hint="eastAsia" w:ascii="Arial" w:hAnsi="Arial" w:eastAsia="等线" w:cs="Arial"/>
          <w:b w:val="0"/>
          <w:bCs w:val="0"/>
          <w:sz w:val="20"/>
          <w:szCs w:val="21"/>
          <w:lang w:val="en-US" w:eastAsia="zh-CN"/>
        </w:rPr>
        <w:t>Observation 2: The typical data size for model training per data sample would be up to around 1.5Mbits (maybe ~hundreds of Kbits) for CSI prediction.</w:t>
      </w:r>
    </w:p>
    <w:p>
      <w:pPr>
        <w:pStyle w:val="8"/>
        <w:rPr>
          <w:rFonts w:hint="eastAsia" w:ascii="Arial" w:hAnsi="Arial" w:eastAsia="等线" w:cs="Arial"/>
          <w:b w:val="0"/>
          <w:bCs w:val="0"/>
          <w:sz w:val="20"/>
          <w:szCs w:val="21"/>
          <w:lang w:val="en-US" w:eastAsia="zh-CN"/>
        </w:rPr>
      </w:pPr>
      <w:r>
        <w:rPr>
          <w:rFonts w:hint="eastAsia" w:ascii="Arial" w:hAnsi="Arial" w:eastAsia="等线" w:cs="Arial"/>
          <w:b w:val="0"/>
          <w:bCs w:val="0"/>
          <w:sz w:val="20"/>
          <w:szCs w:val="21"/>
          <w:lang w:val="en-US" w:eastAsia="zh-CN"/>
        </w:rPr>
        <w:t xml:space="preserve">Observation 3: The existing framework (max payload size &lt;9kbyte for RRC signaling) can support the data size requirements per data sample for model training for CSI compression, BM and positioning. </w:t>
      </w:r>
    </w:p>
    <w:p>
      <w:pPr>
        <w:pStyle w:val="8"/>
        <w:rPr>
          <w:rFonts w:hint="eastAsia" w:ascii="Arial" w:hAnsi="Arial" w:eastAsia="等线" w:cs="Arial"/>
          <w:b w:val="0"/>
          <w:bCs w:val="0"/>
          <w:sz w:val="20"/>
          <w:szCs w:val="21"/>
          <w:lang w:val="en-US" w:eastAsia="zh-CN"/>
        </w:rPr>
      </w:pPr>
      <w:r>
        <w:rPr>
          <w:rFonts w:hint="eastAsia" w:ascii="Arial" w:hAnsi="Arial" w:eastAsia="等线" w:cs="Arial"/>
          <w:b w:val="0"/>
          <w:bCs w:val="0"/>
          <w:sz w:val="20"/>
          <w:szCs w:val="21"/>
          <w:lang w:val="en-US" w:eastAsia="zh-CN"/>
        </w:rPr>
        <w:t>Observation 4: For CSI prediction, the data size requirement will be satisfied if the number of RRC segmentation can be extended.</w:t>
      </w:r>
    </w:p>
    <w:p>
      <w:pPr>
        <w:spacing w:before="120" w:beforeLines="50" w:after="120" w:line="260" w:lineRule="exact"/>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1: For model training, RAN2 further study the following data collection frameworks for each use case:</w:t>
      </w:r>
    </w:p>
    <w:p>
      <w:pPr>
        <w:spacing w:before="120" w:beforeLines="50" w:after="120" w:line="260" w:lineRule="exact"/>
        <w:ind w:firstLine="420" w:firstLineChars="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For CSI feedback: MDT, CSI reporting, L3 measurement, UAI</w:t>
      </w:r>
    </w:p>
    <w:p>
      <w:pPr>
        <w:spacing w:before="120" w:beforeLines="50" w:after="120" w:line="260" w:lineRule="exact"/>
        <w:ind w:firstLine="420" w:firstLineChars="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For beam management: MDT, L3 measurement, UAI</w:t>
      </w:r>
    </w:p>
    <w:p>
      <w:pPr>
        <w:spacing w:before="120" w:beforeLines="50" w:after="120" w:line="260" w:lineRule="exact"/>
        <w:ind w:firstLine="420" w:firstLineChars="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For positioning: LPP, MDT, L3 measurement, UAI</w:t>
      </w:r>
    </w:p>
    <w:p>
      <w:pPr>
        <w:widowControl/>
        <w:spacing w:after="180"/>
        <w:rPr>
          <w:rFonts w:hint="eastAsia" w:ascii="Arial" w:hAnsi="Arial" w:eastAsia="宋体" w:cs="Arial"/>
          <w:b/>
          <w:bCs/>
          <w:kern w:val="0"/>
          <w:szCs w:val="21"/>
          <w:u w:val="single"/>
          <w:lang w:val="en-US" w:eastAsia="zh-CN"/>
        </w:rPr>
      </w:pPr>
    </w:p>
    <w:p>
      <w:pPr>
        <w:widowControl/>
        <w:spacing w:after="180"/>
        <w:rPr>
          <w:rFonts w:hint="eastAsia" w:ascii="Arial" w:hAnsi="Arial" w:eastAsia="宋体" w:cs="Arial"/>
          <w:b/>
          <w:bCs/>
          <w:kern w:val="0"/>
          <w:szCs w:val="21"/>
          <w:lang w:val="en-US" w:eastAsia="zh-CN"/>
        </w:rPr>
      </w:pPr>
      <w:r>
        <w:rPr>
          <w:rFonts w:hint="eastAsia" w:ascii="Arial" w:hAnsi="Arial" w:eastAsia="宋体" w:cs="Arial"/>
          <w:b/>
          <w:bCs/>
          <w:kern w:val="0"/>
          <w:szCs w:val="21"/>
          <w:u w:val="single"/>
          <w:lang w:val="en-US" w:eastAsia="zh-CN"/>
        </w:rPr>
        <w:t>Data collection for model inference:</w:t>
      </w:r>
    </w:p>
    <w:p>
      <w:pPr>
        <w:spacing w:before="120" w:beforeLines="50" w:after="120" w:line="260" w:lineRule="exact"/>
        <w:rPr>
          <w:rFonts w:hint="eastAsia" w:ascii="Arial" w:hAnsi="Arial" w:cs="Arial"/>
          <w:b w:val="0"/>
          <w:bCs/>
          <w:sz w:val="20"/>
          <w:szCs w:val="20"/>
          <w:lang w:val="en-US" w:eastAsia="zh-CN"/>
        </w:rPr>
      </w:pPr>
      <w:r>
        <w:rPr>
          <w:rFonts w:hint="eastAsia" w:ascii="Arial" w:hAnsi="Arial" w:cs="Arial"/>
          <w:b w:val="0"/>
          <w:bCs/>
          <w:sz w:val="20"/>
          <w:szCs w:val="20"/>
          <w:lang w:val="en-US" w:eastAsia="zh-CN"/>
        </w:rPr>
        <w:t>Observation 5: For CSI compression, CSI prediction and beam management, L1 reporting is used for model inference based on RAN1 agreements.</w:t>
      </w:r>
    </w:p>
    <w:p>
      <w:pPr>
        <w:spacing w:before="120" w:beforeLines="50" w:after="120" w:line="260" w:lineRule="exact"/>
        <w:rPr>
          <w:rFonts w:hint="default" w:ascii="Arial" w:hAnsi="Arial" w:cs="Arial"/>
          <w:b/>
          <w:bCs w:val="0"/>
          <w:sz w:val="20"/>
          <w:szCs w:val="20"/>
          <w:lang w:val="en-US" w:eastAsia="zh-CN"/>
        </w:rPr>
      </w:pPr>
      <w:r>
        <w:rPr>
          <w:rFonts w:hint="eastAsia" w:ascii="Arial" w:hAnsi="Arial" w:cs="Arial"/>
          <w:b/>
          <w:bCs w:val="0"/>
          <w:sz w:val="20"/>
          <w:szCs w:val="20"/>
          <w:lang w:val="en-US" w:eastAsia="zh-CN"/>
        </w:rPr>
        <w:t>Proposal 2: For positioning use case, for UE-side model (case 1/2a), RAN2 assumes LPP protocol is applied to the data of model output collected by UE and terminated at LMF, while for gNB-sided model (case 3a), the NRPPa protocol is applied to the data of model output collected by gNB and terminated at LMF.</w:t>
      </w:r>
    </w:p>
    <w:p>
      <w:pPr>
        <w:widowControl/>
        <w:spacing w:after="180"/>
        <w:rPr>
          <w:rFonts w:hint="eastAsia" w:ascii="Arial" w:hAnsi="Arial" w:eastAsia="宋体" w:cs="Arial"/>
          <w:b/>
          <w:bCs/>
          <w:kern w:val="0"/>
          <w:szCs w:val="21"/>
          <w:u w:val="single"/>
          <w:lang w:val="en-US" w:eastAsia="zh-CN"/>
        </w:rPr>
      </w:pPr>
    </w:p>
    <w:p>
      <w:pPr>
        <w:widowControl/>
        <w:spacing w:after="180"/>
        <w:rPr>
          <w:rFonts w:hint="eastAsia" w:ascii="Arial" w:hAnsi="Arial" w:eastAsia="宋体" w:cs="Arial"/>
          <w:b/>
          <w:bCs/>
          <w:kern w:val="0"/>
          <w:szCs w:val="21"/>
          <w:lang w:val="en-US" w:eastAsia="zh-CN"/>
        </w:rPr>
      </w:pPr>
      <w:r>
        <w:rPr>
          <w:rFonts w:hint="eastAsia" w:ascii="Arial" w:hAnsi="Arial" w:eastAsia="宋体" w:cs="Arial"/>
          <w:b/>
          <w:bCs/>
          <w:kern w:val="0"/>
          <w:szCs w:val="21"/>
          <w:u w:val="single"/>
          <w:lang w:val="en-US" w:eastAsia="zh-CN"/>
        </w:rPr>
        <w:t>Data collection for model monitoring:</w:t>
      </w:r>
    </w:p>
    <w:p>
      <w:pPr>
        <w:pStyle w:val="8"/>
        <w:jc w:val="both"/>
        <w:rPr>
          <w:rFonts w:hint="eastAsia" w:ascii="Arial" w:hAnsi="Arial" w:eastAsia="等线" w:cs="Arial"/>
          <w:b w:val="0"/>
          <w:bCs w:val="0"/>
          <w:sz w:val="20"/>
          <w:szCs w:val="21"/>
          <w:lang w:val="en-US" w:eastAsia="zh-CN"/>
        </w:rPr>
      </w:pPr>
      <w:r>
        <w:rPr>
          <w:rFonts w:hint="eastAsia" w:ascii="Arial" w:hAnsi="Arial" w:eastAsia="等线" w:cs="Arial"/>
          <w:b w:val="0"/>
          <w:bCs w:val="0"/>
          <w:sz w:val="20"/>
          <w:szCs w:val="21"/>
          <w:lang w:val="en-US" w:eastAsia="zh-CN"/>
        </w:rPr>
        <w:t>Observation 6: The typical data size for model monitoring per data sample would be about 10s of bits to a few 1000bits even ~150Kbits for CSI compression and beam management.</w:t>
      </w:r>
    </w:p>
    <w:p>
      <w:pPr>
        <w:pStyle w:val="8"/>
        <w:rPr>
          <w:rFonts w:hint="eastAsia" w:ascii="Arial" w:hAnsi="Arial" w:eastAsia="等线" w:cs="Arial"/>
          <w:b w:val="0"/>
          <w:bCs w:val="0"/>
          <w:sz w:val="20"/>
          <w:szCs w:val="21"/>
          <w:lang w:val="en-US" w:eastAsia="zh-CN"/>
        </w:rPr>
      </w:pPr>
      <w:r>
        <w:rPr>
          <w:rFonts w:hint="eastAsia" w:ascii="Arial" w:hAnsi="Arial" w:eastAsia="等线" w:cs="Arial"/>
          <w:b w:val="0"/>
          <w:bCs w:val="0"/>
          <w:sz w:val="20"/>
          <w:szCs w:val="21"/>
          <w:lang w:val="en-US" w:eastAsia="zh-CN"/>
        </w:rPr>
        <w:t>Observation 7: The typi</w:t>
      </w:r>
      <w:bookmarkStart w:id="0" w:name="_GoBack"/>
      <w:bookmarkEnd w:id="0"/>
      <w:r>
        <w:rPr>
          <w:rFonts w:hint="eastAsia" w:ascii="Arial" w:hAnsi="Arial" w:eastAsia="等线" w:cs="Arial"/>
          <w:b w:val="0"/>
          <w:bCs w:val="0"/>
          <w:sz w:val="20"/>
          <w:szCs w:val="21"/>
          <w:lang w:val="en-US" w:eastAsia="zh-CN"/>
        </w:rPr>
        <w:t>cal data size for model monitoring per data sample would be up to around 1.5Mbits for CSI prediction.</w:t>
      </w:r>
    </w:p>
    <w:p>
      <w:pPr>
        <w:pStyle w:val="8"/>
        <w:rPr>
          <w:rFonts w:hint="default" w:ascii="Arial" w:hAnsi="Arial" w:eastAsia="等线" w:cs="Arial"/>
          <w:b w:val="0"/>
          <w:bCs w:val="0"/>
          <w:sz w:val="20"/>
          <w:szCs w:val="21"/>
          <w:lang w:val="en-US" w:eastAsia="zh-CN"/>
        </w:rPr>
      </w:pPr>
      <w:r>
        <w:rPr>
          <w:rFonts w:hint="eastAsia" w:ascii="Arial" w:hAnsi="Arial" w:eastAsia="等线" w:cs="Arial"/>
          <w:b w:val="0"/>
          <w:bCs w:val="0"/>
          <w:sz w:val="20"/>
          <w:szCs w:val="21"/>
          <w:lang w:val="en-US" w:eastAsia="zh-CN"/>
        </w:rPr>
        <w:t>Observation 8: The types of data content for model monitoring are still under RAN1 discussion.</w:t>
      </w:r>
    </w:p>
    <w:p>
      <w:pPr>
        <w:spacing w:before="120" w:beforeLines="50" w:after="120" w:line="260" w:lineRule="exact"/>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3: For model monitoring, RAN2 further study the following data collection frameworks for each use case:</w:t>
      </w:r>
    </w:p>
    <w:p>
      <w:pPr>
        <w:spacing w:before="120" w:beforeLines="50" w:after="120" w:line="260" w:lineRule="exact"/>
        <w:ind w:firstLine="420" w:firstLineChars="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For CSI feedback: MDT, L3 reporting, UAI</w:t>
      </w:r>
    </w:p>
    <w:p>
      <w:pPr>
        <w:spacing w:before="120" w:beforeLines="50" w:after="120" w:line="260" w:lineRule="exact"/>
        <w:ind w:firstLine="420" w:firstLineChars="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For beam management: L1 reporting, L3 measurement, MDT, UAI</w:t>
      </w:r>
    </w:p>
    <w:p>
      <w:pPr>
        <w:spacing w:before="120" w:beforeLines="50" w:after="120" w:line="260" w:lineRule="exact"/>
        <w:ind w:firstLine="420" w:firstLineChars="0"/>
        <w:rPr>
          <w:rFonts w:hint="default" w:ascii="Arial" w:hAnsi="Arial" w:eastAsia="宋体" w:cs="Arial"/>
          <w:b/>
          <w:bCs/>
          <w:kern w:val="0"/>
          <w:szCs w:val="21"/>
          <w:lang w:val="en-US" w:eastAsia="zh-CN"/>
        </w:rPr>
      </w:pPr>
      <w:r>
        <w:rPr>
          <w:rFonts w:hint="eastAsia" w:ascii="Arial" w:hAnsi="Arial" w:eastAsia="宋体" w:cs="Arial"/>
          <w:b/>
          <w:bCs/>
          <w:kern w:val="0"/>
          <w:sz w:val="20"/>
          <w:szCs w:val="20"/>
          <w:lang w:val="en-US" w:eastAsia="zh-CN"/>
        </w:rPr>
        <w:t xml:space="preserve">- For positioning: </w:t>
      </w:r>
      <w:r>
        <w:rPr>
          <w:rFonts w:hint="eastAsia" w:ascii="Arial" w:hAnsi="Arial" w:eastAsia="宋体" w:cs="Arial"/>
          <w:b/>
          <w:bCs/>
          <w:kern w:val="0"/>
          <w:sz w:val="20"/>
          <w:szCs w:val="20"/>
          <w:highlight w:val="none"/>
          <w:lang w:val="en-US" w:eastAsia="zh-CN"/>
        </w:rPr>
        <w:t>LPP</w:t>
      </w:r>
    </w:p>
    <w:p>
      <w:pPr>
        <w:spacing w:before="120" w:beforeLines="50" w:after="120" w:line="260" w:lineRule="exact"/>
        <w:rPr>
          <w:rFonts w:ascii="Arial" w:hAnsi="Arial" w:eastAsia="宋体" w:cs="Arial"/>
          <w:b/>
          <w:bCs/>
          <w:kern w:val="0"/>
          <w:szCs w:val="21"/>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9"/>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GB" w:eastAsia="en-US"/>
        </w:rPr>
        <w:t>Draft_R2_12</w:t>
      </w:r>
      <w:r>
        <w:rPr>
          <w:rFonts w:hint="eastAsia" w:ascii="Arial" w:hAnsi="Arial" w:eastAsia="宋体" w:cs="Arial"/>
          <w:kern w:val="0"/>
          <w:sz w:val="20"/>
          <w:szCs w:val="20"/>
          <w:lang w:val="en-US" w:eastAsia="zh-CN"/>
        </w:rPr>
        <w:t>3</w:t>
      </w:r>
      <w:r>
        <w:rPr>
          <w:rFonts w:hint="eastAsia" w:ascii="Arial" w:hAnsi="Arial" w:eastAsia="宋体" w:cs="Arial"/>
          <w:kern w:val="0"/>
          <w:sz w:val="20"/>
          <w:szCs w:val="20"/>
          <w:lang w:val="en-GB" w:eastAsia="en-US"/>
        </w:rPr>
        <w:t>bis_meeting_report_v</w:t>
      </w:r>
      <w:r>
        <w:rPr>
          <w:rFonts w:hint="eastAsia" w:ascii="Arial" w:hAnsi="Arial" w:eastAsia="宋体" w:cs="Arial"/>
          <w:kern w:val="0"/>
          <w:sz w:val="20"/>
          <w:szCs w:val="20"/>
          <w:lang w:val="en-US" w:eastAsia="zh-CN"/>
        </w:rPr>
        <w:t>1</w:t>
      </w:r>
    </w:p>
    <w:p>
      <w:pPr>
        <w:widowControl/>
        <w:numPr>
          <w:ilvl w:val="0"/>
          <w:numId w:val="9"/>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GB" w:eastAsia="en-US"/>
        </w:rPr>
        <w:t>Draft_R2_12</w:t>
      </w:r>
      <w:r>
        <w:rPr>
          <w:rFonts w:hint="eastAsia" w:ascii="Arial" w:hAnsi="Arial" w:eastAsia="宋体" w:cs="Arial"/>
          <w:kern w:val="0"/>
          <w:sz w:val="20"/>
          <w:szCs w:val="20"/>
          <w:lang w:val="en-US" w:eastAsia="zh-CN"/>
        </w:rPr>
        <w:t>1</w:t>
      </w:r>
      <w:r>
        <w:rPr>
          <w:rFonts w:hint="eastAsia" w:ascii="Arial" w:hAnsi="Arial" w:eastAsia="宋体" w:cs="Arial"/>
          <w:kern w:val="0"/>
          <w:sz w:val="20"/>
          <w:szCs w:val="20"/>
          <w:lang w:val="en-GB" w:eastAsia="en-US"/>
        </w:rPr>
        <w:t>_meeting_report_v</w:t>
      </w:r>
      <w:r>
        <w:rPr>
          <w:rFonts w:hint="eastAsia" w:ascii="Arial" w:hAnsi="Arial" w:eastAsia="宋体" w:cs="Arial"/>
          <w:kern w:val="0"/>
          <w:sz w:val="20"/>
          <w:szCs w:val="20"/>
          <w:lang w:val="en-US" w:eastAsia="zh-CN"/>
        </w:rPr>
        <w:t>1</w:t>
      </w:r>
    </w:p>
    <w:p>
      <w:pPr>
        <w:widowControl/>
        <w:numPr>
          <w:ilvl w:val="0"/>
          <w:numId w:val="9"/>
        </w:numPr>
        <w:overflowPunct w:val="0"/>
        <w:autoSpaceDE w:val="0"/>
        <w:autoSpaceDN w:val="0"/>
        <w:adjustRightInd w:val="0"/>
        <w:spacing w:after="180"/>
        <w:jc w:val="left"/>
        <w:textAlignment w:val="baseline"/>
        <w:rPr>
          <w:rFonts w:hint="eastAsia" w:ascii="Arial" w:hAnsi="Arial" w:eastAsia="宋体" w:cs="Arial"/>
          <w:kern w:val="0"/>
          <w:sz w:val="20"/>
          <w:szCs w:val="20"/>
          <w:lang w:val="en-GB" w:eastAsia="en-US"/>
        </w:rPr>
      </w:pPr>
      <w:r>
        <w:rPr>
          <w:rFonts w:hint="eastAsia" w:ascii="Arial" w:hAnsi="Arial" w:eastAsia="宋体" w:cs="Arial"/>
          <w:kern w:val="0"/>
          <w:sz w:val="20"/>
          <w:szCs w:val="20"/>
          <w:lang w:val="en-GB" w:eastAsia="en-US"/>
        </w:rPr>
        <w:t>R</w:t>
      </w:r>
      <w:r>
        <w:rPr>
          <w:rFonts w:hint="eastAsia" w:ascii="Arial" w:hAnsi="Arial" w:eastAsia="宋体" w:cs="Arial"/>
          <w:kern w:val="0"/>
          <w:sz w:val="20"/>
          <w:szCs w:val="20"/>
          <w:lang w:val="en-US" w:eastAsia="zh-CN"/>
        </w:rPr>
        <w:t>2</w:t>
      </w:r>
      <w:r>
        <w:rPr>
          <w:rFonts w:hint="eastAsia" w:ascii="Arial" w:hAnsi="Arial" w:eastAsia="宋体" w:cs="Arial"/>
          <w:kern w:val="0"/>
          <w:sz w:val="20"/>
          <w:szCs w:val="20"/>
          <w:lang w:val="en-GB" w:eastAsia="en-US"/>
        </w:rPr>
        <w:t>-2</w:t>
      </w:r>
      <w:r>
        <w:rPr>
          <w:rFonts w:hint="eastAsia" w:ascii="Arial" w:hAnsi="Arial" w:eastAsia="宋体" w:cs="Arial"/>
          <w:kern w:val="0"/>
          <w:sz w:val="20"/>
          <w:szCs w:val="20"/>
          <w:lang w:val="en-US" w:eastAsia="zh-CN"/>
        </w:rPr>
        <w:t>302286</w:t>
      </w:r>
      <w:r>
        <w:rPr>
          <w:rFonts w:hint="eastAsia" w:ascii="Arial" w:hAnsi="Arial" w:eastAsia="宋体" w:cs="Arial"/>
          <w:kern w:val="0"/>
          <w:sz w:val="20"/>
          <w:szCs w:val="20"/>
          <w:lang w:val="en-GB" w:eastAsia="en-US"/>
        </w:rPr>
        <w:t xml:space="preserve"> Summary of [AT121][025]: Progress table of analyzing data collection framework (Apple)</w:t>
      </w:r>
    </w:p>
    <w:p>
      <w:pPr>
        <w:widowControl/>
        <w:numPr>
          <w:ilvl w:val="0"/>
          <w:numId w:val="9"/>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US" w:eastAsia="zh-CN"/>
        </w:rPr>
        <w:t>R1-2310681 Reply LS on Data Collection Requirements and Assumptions</w:t>
      </w:r>
    </w:p>
    <w:p>
      <w:pPr>
        <w:widowControl/>
        <w:numPr>
          <w:ilvl w:val="0"/>
          <w:numId w:val="9"/>
        </w:numPr>
        <w:overflowPunct w:val="0"/>
        <w:autoSpaceDE w:val="0"/>
        <w:autoSpaceDN w:val="0"/>
        <w:adjustRightInd w:val="0"/>
        <w:spacing w:after="180"/>
        <w:jc w:val="left"/>
        <w:textAlignment w:val="baseline"/>
        <w:rPr>
          <w:lang w:val="en-GB"/>
        </w:rPr>
      </w:pPr>
      <w:r>
        <w:rPr>
          <w:rFonts w:hint="eastAsia" w:ascii="Arial" w:hAnsi="Arial" w:eastAsia="宋体" w:cs="Arial"/>
          <w:kern w:val="0"/>
          <w:sz w:val="20"/>
          <w:szCs w:val="20"/>
          <w:lang w:val="en-US" w:eastAsia="zh-CN"/>
        </w:rPr>
        <w:t xml:space="preserve">R1-2308730 </w:t>
      </w:r>
      <w:r>
        <w:rPr>
          <w:rFonts w:hint="eastAsia" w:ascii="Arial" w:hAnsi="Arial" w:eastAsia="宋体" w:cs="Arial"/>
          <w:kern w:val="0"/>
          <w:sz w:val="20"/>
          <w:szCs w:val="20"/>
          <w:lang w:val="en-GB" w:eastAsia="en-US"/>
        </w:rPr>
        <w:t>Reply LS on Data Collection Requirements and Assumptions</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4A816C6D"/>
    <w:multiLevelType w:val="multilevel"/>
    <w:tmpl w:val="4A816C6D"/>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50BED944"/>
    <w:multiLevelType w:val="singleLevel"/>
    <w:tmpl w:val="50BED944"/>
    <w:lvl w:ilvl="0" w:tentative="0">
      <w:start w:val="1"/>
      <w:numFmt w:val="decimal"/>
      <w:lvlText w:val="%1"/>
      <w:lvlJc w:val="left"/>
    </w:lvl>
  </w:abstractNum>
  <w:abstractNum w:abstractNumId="6">
    <w:nsid w:val="6DD55664"/>
    <w:multiLevelType w:val="multilevel"/>
    <w:tmpl w:val="6DD55664"/>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7">
    <w:nsid w:val="70146DC0"/>
    <w:multiLevelType w:val="multilevel"/>
    <w:tmpl w:val="70146DC0"/>
    <w:lvl w:ilvl="0" w:tentative="0">
      <w:start w:val="1"/>
      <w:numFmt w:val="bullet"/>
      <w:pStyle w:val="31"/>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18D7D2E"/>
    <w:multiLevelType w:val="multilevel"/>
    <w:tmpl w:val="718D7D2E"/>
    <w:lvl w:ilvl="0" w:tentative="0">
      <w:start w:val="1"/>
      <w:numFmt w:val="decimal"/>
      <w:pStyle w:val="2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0"/>
  </w:num>
  <w:num w:numId="3">
    <w:abstractNumId w:val="8"/>
  </w:num>
  <w:num w:numId="4">
    <w:abstractNumId w:val="7"/>
  </w:num>
  <w:num w:numId="5">
    <w:abstractNumId w:val="5"/>
  </w:num>
  <w:num w:numId="6">
    <w:abstractNumId w:val="6"/>
  </w:num>
  <w:num w:numId="7">
    <w:abstractNumId w:val="1"/>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96A53"/>
    <w:rsid w:val="001E2496"/>
    <w:rsid w:val="001F7978"/>
    <w:rsid w:val="002215C2"/>
    <w:rsid w:val="00225D63"/>
    <w:rsid w:val="00234354"/>
    <w:rsid w:val="002650A3"/>
    <w:rsid w:val="002713AD"/>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B509A"/>
    <w:rsid w:val="004E4DAD"/>
    <w:rsid w:val="005075A3"/>
    <w:rsid w:val="00523942"/>
    <w:rsid w:val="00525BBB"/>
    <w:rsid w:val="005C3989"/>
    <w:rsid w:val="005E7E07"/>
    <w:rsid w:val="006100C7"/>
    <w:rsid w:val="00610B28"/>
    <w:rsid w:val="006743B8"/>
    <w:rsid w:val="00680623"/>
    <w:rsid w:val="006A4FB5"/>
    <w:rsid w:val="006B0BFB"/>
    <w:rsid w:val="006D1DA8"/>
    <w:rsid w:val="006F2C45"/>
    <w:rsid w:val="006F304E"/>
    <w:rsid w:val="0074611C"/>
    <w:rsid w:val="007750BC"/>
    <w:rsid w:val="007A2ADF"/>
    <w:rsid w:val="007B28E6"/>
    <w:rsid w:val="007E3904"/>
    <w:rsid w:val="00843904"/>
    <w:rsid w:val="00894A29"/>
    <w:rsid w:val="008A5A0B"/>
    <w:rsid w:val="008D110D"/>
    <w:rsid w:val="008E4F97"/>
    <w:rsid w:val="00940BA3"/>
    <w:rsid w:val="00950D36"/>
    <w:rsid w:val="00956A27"/>
    <w:rsid w:val="00982B04"/>
    <w:rsid w:val="009924F0"/>
    <w:rsid w:val="009962E7"/>
    <w:rsid w:val="009D3F27"/>
    <w:rsid w:val="009E00D2"/>
    <w:rsid w:val="009E36A7"/>
    <w:rsid w:val="009E6BC9"/>
    <w:rsid w:val="00A350C4"/>
    <w:rsid w:val="00AC3458"/>
    <w:rsid w:val="00AD67D5"/>
    <w:rsid w:val="00AD727F"/>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5620"/>
    <w:rsid w:val="00E513DD"/>
    <w:rsid w:val="00E82408"/>
    <w:rsid w:val="00ED765C"/>
    <w:rsid w:val="00EF5EE1"/>
    <w:rsid w:val="00F02DFE"/>
    <w:rsid w:val="00F05AB0"/>
    <w:rsid w:val="00F0760F"/>
    <w:rsid w:val="00F33D13"/>
    <w:rsid w:val="00F47D8B"/>
    <w:rsid w:val="00F627D0"/>
    <w:rsid w:val="00F841B6"/>
    <w:rsid w:val="00F92EA1"/>
    <w:rsid w:val="01041DE1"/>
    <w:rsid w:val="016E658B"/>
    <w:rsid w:val="01840FB9"/>
    <w:rsid w:val="01A574CF"/>
    <w:rsid w:val="01E966BF"/>
    <w:rsid w:val="029B08C6"/>
    <w:rsid w:val="02A424C3"/>
    <w:rsid w:val="02B71025"/>
    <w:rsid w:val="02FA6D08"/>
    <w:rsid w:val="0300491B"/>
    <w:rsid w:val="030E32B0"/>
    <w:rsid w:val="03190295"/>
    <w:rsid w:val="038A1F16"/>
    <w:rsid w:val="041A101A"/>
    <w:rsid w:val="04A12BB9"/>
    <w:rsid w:val="04A37BF0"/>
    <w:rsid w:val="04F25DBA"/>
    <w:rsid w:val="04FD5053"/>
    <w:rsid w:val="054134AD"/>
    <w:rsid w:val="0571089C"/>
    <w:rsid w:val="058844D8"/>
    <w:rsid w:val="05AD7C3D"/>
    <w:rsid w:val="05B81468"/>
    <w:rsid w:val="05B92B80"/>
    <w:rsid w:val="05CC288F"/>
    <w:rsid w:val="05FB3716"/>
    <w:rsid w:val="061355E6"/>
    <w:rsid w:val="069766D8"/>
    <w:rsid w:val="06EA3869"/>
    <w:rsid w:val="06EB297F"/>
    <w:rsid w:val="06F44776"/>
    <w:rsid w:val="071830B3"/>
    <w:rsid w:val="072E12A5"/>
    <w:rsid w:val="072E4FA9"/>
    <w:rsid w:val="07554650"/>
    <w:rsid w:val="079F7BD5"/>
    <w:rsid w:val="07CC0B7F"/>
    <w:rsid w:val="080B0E60"/>
    <w:rsid w:val="08241B14"/>
    <w:rsid w:val="08346E32"/>
    <w:rsid w:val="084F3982"/>
    <w:rsid w:val="08BD2F14"/>
    <w:rsid w:val="08D80E0C"/>
    <w:rsid w:val="09085B92"/>
    <w:rsid w:val="093223D0"/>
    <w:rsid w:val="09414F75"/>
    <w:rsid w:val="094470AB"/>
    <w:rsid w:val="095A6DFD"/>
    <w:rsid w:val="09926330"/>
    <w:rsid w:val="09AD7F7C"/>
    <w:rsid w:val="09B92009"/>
    <w:rsid w:val="09C411E9"/>
    <w:rsid w:val="09D63199"/>
    <w:rsid w:val="09F124DC"/>
    <w:rsid w:val="09F8719E"/>
    <w:rsid w:val="0A0C359D"/>
    <w:rsid w:val="0A103B20"/>
    <w:rsid w:val="0A1469F1"/>
    <w:rsid w:val="0A173D8A"/>
    <w:rsid w:val="0AAC7074"/>
    <w:rsid w:val="0AB622D1"/>
    <w:rsid w:val="0ADE2342"/>
    <w:rsid w:val="0AE21792"/>
    <w:rsid w:val="0AF33383"/>
    <w:rsid w:val="0B054A96"/>
    <w:rsid w:val="0B11078A"/>
    <w:rsid w:val="0B7E67EB"/>
    <w:rsid w:val="0B96175E"/>
    <w:rsid w:val="0BB81E48"/>
    <w:rsid w:val="0BF550E1"/>
    <w:rsid w:val="0C202296"/>
    <w:rsid w:val="0C415301"/>
    <w:rsid w:val="0C4853AF"/>
    <w:rsid w:val="0C5466CF"/>
    <w:rsid w:val="0C6C1EE0"/>
    <w:rsid w:val="0C7F3E15"/>
    <w:rsid w:val="0CC05689"/>
    <w:rsid w:val="0CD5224C"/>
    <w:rsid w:val="0CE47224"/>
    <w:rsid w:val="0D362C45"/>
    <w:rsid w:val="0D711EBE"/>
    <w:rsid w:val="0D771EA7"/>
    <w:rsid w:val="0DA728AC"/>
    <w:rsid w:val="0DAD175B"/>
    <w:rsid w:val="0DE14E46"/>
    <w:rsid w:val="0E3D4FDF"/>
    <w:rsid w:val="0E4A09D7"/>
    <w:rsid w:val="0E56201A"/>
    <w:rsid w:val="0E6E3C34"/>
    <w:rsid w:val="0EAF327B"/>
    <w:rsid w:val="0F1D748A"/>
    <w:rsid w:val="0F4E079B"/>
    <w:rsid w:val="0F782620"/>
    <w:rsid w:val="0F8A7784"/>
    <w:rsid w:val="0FC803F4"/>
    <w:rsid w:val="10090A65"/>
    <w:rsid w:val="108B22CD"/>
    <w:rsid w:val="10AC6F3F"/>
    <w:rsid w:val="10C31C47"/>
    <w:rsid w:val="10C64AE7"/>
    <w:rsid w:val="10F04644"/>
    <w:rsid w:val="110171B2"/>
    <w:rsid w:val="111F30A5"/>
    <w:rsid w:val="11900A86"/>
    <w:rsid w:val="119B1CE5"/>
    <w:rsid w:val="11D44799"/>
    <w:rsid w:val="11E4251C"/>
    <w:rsid w:val="1236016D"/>
    <w:rsid w:val="123900DB"/>
    <w:rsid w:val="123B6254"/>
    <w:rsid w:val="12934DEA"/>
    <w:rsid w:val="12A73823"/>
    <w:rsid w:val="12B04029"/>
    <w:rsid w:val="12BD5E5F"/>
    <w:rsid w:val="12DA4242"/>
    <w:rsid w:val="130A48C3"/>
    <w:rsid w:val="132303DD"/>
    <w:rsid w:val="1331496D"/>
    <w:rsid w:val="13392934"/>
    <w:rsid w:val="13583AE1"/>
    <w:rsid w:val="1358580E"/>
    <w:rsid w:val="136A73BB"/>
    <w:rsid w:val="139327D8"/>
    <w:rsid w:val="13A46671"/>
    <w:rsid w:val="14256000"/>
    <w:rsid w:val="1466786F"/>
    <w:rsid w:val="14A668A4"/>
    <w:rsid w:val="14A9029F"/>
    <w:rsid w:val="14B83431"/>
    <w:rsid w:val="14E836E8"/>
    <w:rsid w:val="14F142C3"/>
    <w:rsid w:val="150B6FBF"/>
    <w:rsid w:val="152B1104"/>
    <w:rsid w:val="154A66B0"/>
    <w:rsid w:val="159C7EDD"/>
    <w:rsid w:val="15BE553B"/>
    <w:rsid w:val="15E03E14"/>
    <w:rsid w:val="15E9482E"/>
    <w:rsid w:val="161147C5"/>
    <w:rsid w:val="16327956"/>
    <w:rsid w:val="166A7A3B"/>
    <w:rsid w:val="16725680"/>
    <w:rsid w:val="168B0BBD"/>
    <w:rsid w:val="16A3322F"/>
    <w:rsid w:val="16C120B7"/>
    <w:rsid w:val="16CD3708"/>
    <w:rsid w:val="16D51B5B"/>
    <w:rsid w:val="17916AE6"/>
    <w:rsid w:val="17AE49E6"/>
    <w:rsid w:val="17CD5A7B"/>
    <w:rsid w:val="18035F6A"/>
    <w:rsid w:val="185C58E1"/>
    <w:rsid w:val="186366A3"/>
    <w:rsid w:val="187A66B9"/>
    <w:rsid w:val="1881324F"/>
    <w:rsid w:val="18A246AF"/>
    <w:rsid w:val="18FE1274"/>
    <w:rsid w:val="192F165F"/>
    <w:rsid w:val="195E3B99"/>
    <w:rsid w:val="196E4FB3"/>
    <w:rsid w:val="1A1C0B7B"/>
    <w:rsid w:val="1A40430B"/>
    <w:rsid w:val="1A9A126F"/>
    <w:rsid w:val="1AA4601E"/>
    <w:rsid w:val="1ABF7C53"/>
    <w:rsid w:val="1ADE6206"/>
    <w:rsid w:val="1AE7452F"/>
    <w:rsid w:val="1B073464"/>
    <w:rsid w:val="1B5E2B2B"/>
    <w:rsid w:val="1BB22919"/>
    <w:rsid w:val="1C263D41"/>
    <w:rsid w:val="1C6673DB"/>
    <w:rsid w:val="1C726F5B"/>
    <w:rsid w:val="1CC529AF"/>
    <w:rsid w:val="1CC914E2"/>
    <w:rsid w:val="1D031FA5"/>
    <w:rsid w:val="1D700D25"/>
    <w:rsid w:val="1DA1677A"/>
    <w:rsid w:val="1DE55E1B"/>
    <w:rsid w:val="1DEA2636"/>
    <w:rsid w:val="1E015BFF"/>
    <w:rsid w:val="1E261FEC"/>
    <w:rsid w:val="1E5D014C"/>
    <w:rsid w:val="1E625159"/>
    <w:rsid w:val="1E6C052F"/>
    <w:rsid w:val="1EB31B66"/>
    <w:rsid w:val="1EB529F8"/>
    <w:rsid w:val="1EF17AB3"/>
    <w:rsid w:val="1F1F4D17"/>
    <w:rsid w:val="1FE63CE8"/>
    <w:rsid w:val="205E7BE3"/>
    <w:rsid w:val="208A18F1"/>
    <w:rsid w:val="208D63E6"/>
    <w:rsid w:val="20A506BA"/>
    <w:rsid w:val="20F63843"/>
    <w:rsid w:val="20FE18B0"/>
    <w:rsid w:val="21513A3C"/>
    <w:rsid w:val="215A766D"/>
    <w:rsid w:val="21667FDB"/>
    <w:rsid w:val="219C1508"/>
    <w:rsid w:val="21FA5606"/>
    <w:rsid w:val="220A4513"/>
    <w:rsid w:val="22B32E1B"/>
    <w:rsid w:val="22CD6AE0"/>
    <w:rsid w:val="236906A5"/>
    <w:rsid w:val="2375481A"/>
    <w:rsid w:val="23822B30"/>
    <w:rsid w:val="23B828A0"/>
    <w:rsid w:val="23EE120B"/>
    <w:rsid w:val="2403705B"/>
    <w:rsid w:val="24110B80"/>
    <w:rsid w:val="249D5D77"/>
    <w:rsid w:val="24B445FB"/>
    <w:rsid w:val="24C74F14"/>
    <w:rsid w:val="24D708E2"/>
    <w:rsid w:val="251B6F7E"/>
    <w:rsid w:val="252515BC"/>
    <w:rsid w:val="25F5013E"/>
    <w:rsid w:val="262A1C6D"/>
    <w:rsid w:val="262F627F"/>
    <w:rsid w:val="26315BFD"/>
    <w:rsid w:val="26537397"/>
    <w:rsid w:val="26590269"/>
    <w:rsid w:val="2660154C"/>
    <w:rsid w:val="26A276B5"/>
    <w:rsid w:val="26BA68C7"/>
    <w:rsid w:val="2725126B"/>
    <w:rsid w:val="2796594E"/>
    <w:rsid w:val="27BC024E"/>
    <w:rsid w:val="27BE3E87"/>
    <w:rsid w:val="27C17045"/>
    <w:rsid w:val="27C35275"/>
    <w:rsid w:val="283167B4"/>
    <w:rsid w:val="28682A73"/>
    <w:rsid w:val="289D577F"/>
    <w:rsid w:val="28E404D9"/>
    <w:rsid w:val="28F4407D"/>
    <w:rsid w:val="291138C7"/>
    <w:rsid w:val="29120E51"/>
    <w:rsid w:val="29733D9F"/>
    <w:rsid w:val="29A61468"/>
    <w:rsid w:val="29BE37C1"/>
    <w:rsid w:val="2A665688"/>
    <w:rsid w:val="2A7D74CC"/>
    <w:rsid w:val="2A7F4563"/>
    <w:rsid w:val="2B3F4C1F"/>
    <w:rsid w:val="2B4D1216"/>
    <w:rsid w:val="2B58393A"/>
    <w:rsid w:val="2B8030A5"/>
    <w:rsid w:val="2BE06712"/>
    <w:rsid w:val="2C095760"/>
    <w:rsid w:val="2C6E581C"/>
    <w:rsid w:val="2D146D2C"/>
    <w:rsid w:val="2D3B7B03"/>
    <w:rsid w:val="2D440581"/>
    <w:rsid w:val="2D470656"/>
    <w:rsid w:val="2D493ADC"/>
    <w:rsid w:val="2D55451C"/>
    <w:rsid w:val="2D5B158F"/>
    <w:rsid w:val="2DF144D1"/>
    <w:rsid w:val="2DFB6036"/>
    <w:rsid w:val="2EA86437"/>
    <w:rsid w:val="2EB103B1"/>
    <w:rsid w:val="2F0F71E6"/>
    <w:rsid w:val="2F383A5C"/>
    <w:rsid w:val="2F4559EE"/>
    <w:rsid w:val="2F742945"/>
    <w:rsid w:val="2FBE43F5"/>
    <w:rsid w:val="2FC53C32"/>
    <w:rsid w:val="2FD157C7"/>
    <w:rsid w:val="300A115E"/>
    <w:rsid w:val="30296BB8"/>
    <w:rsid w:val="309D4655"/>
    <w:rsid w:val="30C026F3"/>
    <w:rsid w:val="315423FA"/>
    <w:rsid w:val="315B7AEC"/>
    <w:rsid w:val="317503B0"/>
    <w:rsid w:val="31D53C4D"/>
    <w:rsid w:val="31F71A11"/>
    <w:rsid w:val="31FE12AB"/>
    <w:rsid w:val="321A185A"/>
    <w:rsid w:val="321B4537"/>
    <w:rsid w:val="32513A45"/>
    <w:rsid w:val="32B50B2C"/>
    <w:rsid w:val="32C84DFE"/>
    <w:rsid w:val="3337740D"/>
    <w:rsid w:val="337F1035"/>
    <w:rsid w:val="33805DA1"/>
    <w:rsid w:val="338C56E4"/>
    <w:rsid w:val="33934B2E"/>
    <w:rsid w:val="339441CF"/>
    <w:rsid w:val="33C37075"/>
    <w:rsid w:val="34062C68"/>
    <w:rsid w:val="341C738A"/>
    <w:rsid w:val="34A26022"/>
    <w:rsid w:val="34B443F6"/>
    <w:rsid w:val="34E12F4E"/>
    <w:rsid w:val="34EC41DF"/>
    <w:rsid w:val="35040A33"/>
    <w:rsid w:val="351A24AD"/>
    <w:rsid w:val="35273121"/>
    <w:rsid w:val="354E123E"/>
    <w:rsid w:val="354F2AD2"/>
    <w:rsid w:val="35C60438"/>
    <w:rsid w:val="360D6591"/>
    <w:rsid w:val="361F2C5E"/>
    <w:rsid w:val="363976F7"/>
    <w:rsid w:val="36681B72"/>
    <w:rsid w:val="366E68DA"/>
    <w:rsid w:val="36E02E58"/>
    <w:rsid w:val="36F84B57"/>
    <w:rsid w:val="3751494E"/>
    <w:rsid w:val="375A24EA"/>
    <w:rsid w:val="37757EA8"/>
    <w:rsid w:val="3784494C"/>
    <w:rsid w:val="37BC00E4"/>
    <w:rsid w:val="37C859C7"/>
    <w:rsid w:val="37D62F7A"/>
    <w:rsid w:val="37E40AE8"/>
    <w:rsid w:val="3801173C"/>
    <w:rsid w:val="38060F79"/>
    <w:rsid w:val="384E5649"/>
    <w:rsid w:val="38746ABC"/>
    <w:rsid w:val="38761BD7"/>
    <w:rsid w:val="38AE69D5"/>
    <w:rsid w:val="38FC0060"/>
    <w:rsid w:val="38FC32F5"/>
    <w:rsid w:val="39030A9D"/>
    <w:rsid w:val="39113643"/>
    <w:rsid w:val="396866FD"/>
    <w:rsid w:val="397E03C2"/>
    <w:rsid w:val="39BB3AC3"/>
    <w:rsid w:val="39DF043A"/>
    <w:rsid w:val="39FE32B3"/>
    <w:rsid w:val="3A070DC0"/>
    <w:rsid w:val="3A2065C7"/>
    <w:rsid w:val="3A34378D"/>
    <w:rsid w:val="3A36160B"/>
    <w:rsid w:val="3AEB3C21"/>
    <w:rsid w:val="3AFB6043"/>
    <w:rsid w:val="3B191C47"/>
    <w:rsid w:val="3B295FAA"/>
    <w:rsid w:val="3B5C6A72"/>
    <w:rsid w:val="3B7F2CAA"/>
    <w:rsid w:val="3C1A13DF"/>
    <w:rsid w:val="3C3A4FEB"/>
    <w:rsid w:val="3C4F0EBB"/>
    <w:rsid w:val="3C635FA0"/>
    <w:rsid w:val="3C8659AE"/>
    <w:rsid w:val="3CA66A58"/>
    <w:rsid w:val="3CBE3C7C"/>
    <w:rsid w:val="3CD165D4"/>
    <w:rsid w:val="3CF316DB"/>
    <w:rsid w:val="3D39355A"/>
    <w:rsid w:val="3D3C44DD"/>
    <w:rsid w:val="3D5001A7"/>
    <w:rsid w:val="3D5B3EF0"/>
    <w:rsid w:val="3D5C58DF"/>
    <w:rsid w:val="3D9214B7"/>
    <w:rsid w:val="3DB23DD9"/>
    <w:rsid w:val="3E390C78"/>
    <w:rsid w:val="3E500D27"/>
    <w:rsid w:val="3E573ADE"/>
    <w:rsid w:val="3EA55E90"/>
    <w:rsid w:val="3ECD0998"/>
    <w:rsid w:val="3ED508CA"/>
    <w:rsid w:val="3F1109BC"/>
    <w:rsid w:val="3F1B7587"/>
    <w:rsid w:val="3F805B16"/>
    <w:rsid w:val="3FA42170"/>
    <w:rsid w:val="3FAF36DB"/>
    <w:rsid w:val="405759DA"/>
    <w:rsid w:val="406A14B3"/>
    <w:rsid w:val="407C15D8"/>
    <w:rsid w:val="409D1B0D"/>
    <w:rsid w:val="40F97CA8"/>
    <w:rsid w:val="41171B69"/>
    <w:rsid w:val="41415E9E"/>
    <w:rsid w:val="41883A8E"/>
    <w:rsid w:val="418A60B4"/>
    <w:rsid w:val="41B370D6"/>
    <w:rsid w:val="42212582"/>
    <w:rsid w:val="42755843"/>
    <w:rsid w:val="42794CE2"/>
    <w:rsid w:val="428704C4"/>
    <w:rsid w:val="42C70708"/>
    <w:rsid w:val="42E0254C"/>
    <w:rsid w:val="42F40D67"/>
    <w:rsid w:val="43066FF8"/>
    <w:rsid w:val="43146FF6"/>
    <w:rsid w:val="433204F8"/>
    <w:rsid w:val="433C3AAA"/>
    <w:rsid w:val="4345322A"/>
    <w:rsid w:val="43964A1C"/>
    <w:rsid w:val="44031DB9"/>
    <w:rsid w:val="447943E7"/>
    <w:rsid w:val="44B41FCD"/>
    <w:rsid w:val="44F46625"/>
    <w:rsid w:val="454C191C"/>
    <w:rsid w:val="45861251"/>
    <w:rsid w:val="459911EE"/>
    <w:rsid w:val="4599227F"/>
    <w:rsid w:val="45BE024B"/>
    <w:rsid w:val="45BE2AD4"/>
    <w:rsid w:val="45C2437E"/>
    <w:rsid w:val="45EA2721"/>
    <w:rsid w:val="46300B95"/>
    <w:rsid w:val="4699240B"/>
    <w:rsid w:val="46B7014A"/>
    <w:rsid w:val="46ED5CA5"/>
    <w:rsid w:val="46FE4C6E"/>
    <w:rsid w:val="475A659D"/>
    <w:rsid w:val="476207DA"/>
    <w:rsid w:val="47944B93"/>
    <w:rsid w:val="47B14EAE"/>
    <w:rsid w:val="47C04462"/>
    <w:rsid w:val="47C96CD1"/>
    <w:rsid w:val="47D84F8A"/>
    <w:rsid w:val="47DB6ABB"/>
    <w:rsid w:val="48083448"/>
    <w:rsid w:val="48460696"/>
    <w:rsid w:val="48690DD9"/>
    <w:rsid w:val="486B54EB"/>
    <w:rsid w:val="4887121F"/>
    <w:rsid w:val="48F702B1"/>
    <w:rsid w:val="492E569F"/>
    <w:rsid w:val="494B446A"/>
    <w:rsid w:val="494E1C27"/>
    <w:rsid w:val="49A36AB0"/>
    <w:rsid w:val="49A97E85"/>
    <w:rsid w:val="49D92DDD"/>
    <w:rsid w:val="49EF5321"/>
    <w:rsid w:val="4A347F6C"/>
    <w:rsid w:val="4A444508"/>
    <w:rsid w:val="4A456A14"/>
    <w:rsid w:val="4A66451F"/>
    <w:rsid w:val="4A9D0D79"/>
    <w:rsid w:val="4A9D45B8"/>
    <w:rsid w:val="4A9F545E"/>
    <w:rsid w:val="4AAB056F"/>
    <w:rsid w:val="4B08573B"/>
    <w:rsid w:val="4B626F00"/>
    <w:rsid w:val="4BC53B5B"/>
    <w:rsid w:val="4BE53FE4"/>
    <w:rsid w:val="4C340FD6"/>
    <w:rsid w:val="4C744BB3"/>
    <w:rsid w:val="4C964045"/>
    <w:rsid w:val="4CE2366D"/>
    <w:rsid w:val="4D010671"/>
    <w:rsid w:val="4D316B33"/>
    <w:rsid w:val="4D352FBB"/>
    <w:rsid w:val="4D743D8A"/>
    <w:rsid w:val="4DF70A62"/>
    <w:rsid w:val="4E2452B7"/>
    <w:rsid w:val="4E695109"/>
    <w:rsid w:val="4E9C3B92"/>
    <w:rsid w:val="4E9D6524"/>
    <w:rsid w:val="4EAD1AF9"/>
    <w:rsid w:val="4EE23C1E"/>
    <w:rsid w:val="4F1913AC"/>
    <w:rsid w:val="4F4F5A65"/>
    <w:rsid w:val="4F6426A9"/>
    <w:rsid w:val="4F7A31F5"/>
    <w:rsid w:val="4FB77179"/>
    <w:rsid w:val="4FB92CDA"/>
    <w:rsid w:val="4FE775A6"/>
    <w:rsid w:val="4FF54231"/>
    <w:rsid w:val="50077447"/>
    <w:rsid w:val="50623802"/>
    <w:rsid w:val="50652E94"/>
    <w:rsid w:val="508700F4"/>
    <w:rsid w:val="50A970CD"/>
    <w:rsid w:val="50C72D83"/>
    <w:rsid w:val="5163596F"/>
    <w:rsid w:val="51A0460E"/>
    <w:rsid w:val="51A823AB"/>
    <w:rsid w:val="51CC648B"/>
    <w:rsid w:val="51E202B2"/>
    <w:rsid w:val="52065DA2"/>
    <w:rsid w:val="522E4D5D"/>
    <w:rsid w:val="524A71B5"/>
    <w:rsid w:val="52642695"/>
    <w:rsid w:val="5279373F"/>
    <w:rsid w:val="528B1069"/>
    <w:rsid w:val="528D5BD8"/>
    <w:rsid w:val="528F0DD4"/>
    <w:rsid w:val="52930D7F"/>
    <w:rsid w:val="5296438C"/>
    <w:rsid w:val="53144C5A"/>
    <w:rsid w:val="53AE0CB6"/>
    <w:rsid w:val="53D170F4"/>
    <w:rsid w:val="54606A92"/>
    <w:rsid w:val="54611A81"/>
    <w:rsid w:val="55846FDD"/>
    <w:rsid w:val="55CD48C4"/>
    <w:rsid w:val="562365CA"/>
    <w:rsid w:val="56340430"/>
    <w:rsid w:val="56581D59"/>
    <w:rsid w:val="568502CA"/>
    <w:rsid w:val="56B0773B"/>
    <w:rsid w:val="56C254B7"/>
    <w:rsid w:val="5709588E"/>
    <w:rsid w:val="571760EF"/>
    <w:rsid w:val="57792910"/>
    <w:rsid w:val="5781180D"/>
    <w:rsid w:val="57C77D46"/>
    <w:rsid w:val="57CF4F1B"/>
    <w:rsid w:val="58201757"/>
    <w:rsid w:val="585818C8"/>
    <w:rsid w:val="58602168"/>
    <w:rsid w:val="5860738B"/>
    <w:rsid w:val="58AB4E89"/>
    <w:rsid w:val="58AD7356"/>
    <w:rsid w:val="58B5550E"/>
    <w:rsid w:val="58BD5C76"/>
    <w:rsid w:val="58C11261"/>
    <w:rsid w:val="58C34E9B"/>
    <w:rsid w:val="58D20175"/>
    <w:rsid w:val="59340E0B"/>
    <w:rsid w:val="59AD7B0E"/>
    <w:rsid w:val="59D55070"/>
    <w:rsid w:val="59DA18AC"/>
    <w:rsid w:val="59FD6E5D"/>
    <w:rsid w:val="5A2F5AF5"/>
    <w:rsid w:val="5A637B38"/>
    <w:rsid w:val="5A8D1386"/>
    <w:rsid w:val="5A93303B"/>
    <w:rsid w:val="5ABB6C3C"/>
    <w:rsid w:val="5AFF7905"/>
    <w:rsid w:val="5B1836AE"/>
    <w:rsid w:val="5B492C91"/>
    <w:rsid w:val="5B6B15AA"/>
    <w:rsid w:val="5BAF6495"/>
    <w:rsid w:val="5BF25754"/>
    <w:rsid w:val="5C1E13B0"/>
    <w:rsid w:val="5C662A50"/>
    <w:rsid w:val="5CC73DD6"/>
    <w:rsid w:val="5CEA2522"/>
    <w:rsid w:val="5CF2777D"/>
    <w:rsid w:val="5D2708E3"/>
    <w:rsid w:val="5D664D05"/>
    <w:rsid w:val="5D7C584C"/>
    <w:rsid w:val="5D7F0635"/>
    <w:rsid w:val="5D894E7F"/>
    <w:rsid w:val="5D8D080D"/>
    <w:rsid w:val="5DBF6493"/>
    <w:rsid w:val="5DC12605"/>
    <w:rsid w:val="5E3A6AA2"/>
    <w:rsid w:val="5E3E4C2D"/>
    <w:rsid w:val="5E5867E1"/>
    <w:rsid w:val="5E874CE8"/>
    <w:rsid w:val="5EB00E5C"/>
    <w:rsid w:val="5ED35331"/>
    <w:rsid w:val="5EE37831"/>
    <w:rsid w:val="5EEB7859"/>
    <w:rsid w:val="5F0A3D5F"/>
    <w:rsid w:val="5F213F68"/>
    <w:rsid w:val="5F2F6349"/>
    <w:rsid w:val="5F600D4E"/>
    <w:rsid w:val="5F956DDF"/>
    <w:rsid w:val="5F991667"/>
    <w:rsid w:val="5FA416F1"/>
    <w:rsid w:val="5FD93954"/>
    <w:rsid w:val="5FDC55D3"/>
    <w:rsid w:val="5FF469EE"/>
    <w:rsid w:val="5FFB0094"/>
    <w:rsid w:val="60160416"/>
    <w:rsid w:val="604A1238"/>
    <w:rsid w:val="60A62DBA"/>
    <w:rsid w:val="60C03CCF"/>
    <w:rsid w:val="60D42D03"/>
    <w:rsid w:val="60E62C9D"/>
    <w:rsid w:val="611B62E0"/>
    <w:rsid w:val="61A06374"/>
    <w:rsid w:val="622470A5"/>
    <w:rsid w:val="625D25EA"/>
    <w:rsid w:val="62857C4E"/>
    <w:rsid w:val="6286607D"/>
    <w:rsid w:val="62A62781"/>
    <w:rsid w:val="62E05FC6"/>
    <w:rsid w:val="62FD3864"/>
    <w:rsid w:val="63464F7D"/>
    <w:rsid w:val="634B0772"/>
    <w:rsid w:val="636E7A2E"/>
    <w:rsid w:val="63815A2A"/>
    <w:rsid w:val="63BF7E8E"/>
    <w:rsid w:val="63C01CBD"/>
    <w:rsid w:val="643F3D04"/>
    <w:rsid w:val="644204E6"/>
    <w:rsid w:val="64635DFB"/>
    <w:rsid w:val="64683A23"/>
    <w:rsid w:val="64AF3910"/>
    <w:rsid w:val="64BC2C9E"/>
    <w:rsid w:val="64C626B7"/>
    <w:rsid w:val="658066C4"/>
    <w:rsid w:val="65912A7B"/>
    <w:rsid w:val="660428AE"/>
    <w:rsid w:val="660D1E09"/>
    <w:rsid w:val="660E4242"/>
    <w:rsid w:val="662519F4"/>
    <w:rsid w:val="66354951"/>
    <w:rsid w:val="666A2C09"/>
    <w:rsid w:val="6679092A"/>
    <w:rsid w:val="669315AD"/>
    <w:rsid w:val="66BA2385"/>
    <w:rsid w:val="66DB09CF"/>
    <w:rsid w:val="66E96680"/>
    <w:rsid w:val="67237A0F"/>
    <w:rsid w:val="67487CFE"/>
    <w:rsid w:val="677038E2"/>
    <w:rsid w:val="677777A9"/>
    <w:rsid w:val="67B43783"/>
    <w:rsid w:val="67B92A72"/>
    <w:rsid w:val="67D547C2"/>
    <w:rsid w:val="68233F9E"/>
    <w:rsid w:val="689340A3"/>
    <w:rsid w:val="68A12E72"/>
    <w:rsid w:val="68DC73EC"/>
    <w:rsid w:val="69054B5C"/>
    <w:rsid w:val="69293200"/>
    <w:rsid w:val="694347AF"/>
    <w:rsid w:val="694F06EB"/>
    <w:rsid w:val="6963607F"/>
    <w:rsid w:val="696403F8"/>
    <w:rsid w:val="69766916"/>
    <w:rsid w:val="698F77F4"/>
    <w:rsid w:val="69B23B9D"/>
    <w:rsid w:val="69E82867"/>
    <w:rsid w:val="6A086F70"/>
    <w:rsid w:val="6A540655"/>
    <w:rsid w:val="6A5B510D"/>
    <w:rsid w:val="6AA159CB"/>
    <w:rsid w:val="6AA26939"/>
    <w:rsid w:val="6ACB1DCC"/>
    <w:rsid w:val="6AD50437"/>
    <w:rsid w:val="6AE4041A"/>
    <w:rsid w:val="6AEE57CB"/>
    <w:rsid w:val="6B3030A0"/>
    <w:rsid w:val="6B9C69D2"/>
    <w:rsid w:val="6BB104FC"/>
    <w:rsid w:val="6BC75657"/>
    <w:rsid w:val="6BD126F0"/>
    <w:rsid w:val="6BE1773A"/>
    <w:rsid w:val="6BE35659"/>
    <w:rsid w:val="6C2B66F7"/>
    <w:rsid w:val="6C56491E"/>
    <w:rsid w:val="6C5B64F3"/>
    <w:rsid w:val="6CB84F3A"/>
    <w:rsid w:val="6D05726A"/>
    <w:rsid w:val="6D673555"/>
    <w:rsid w:val="6D717C1E"/>
    <w:rsid w:val="6D92611A"/>
    <w:rsid w:val="6D994274"/>
    <w:rsid w:val="6DB90857"/>
    <w:rsid w:val="6DC267F1"/>
    <w:rsid w:val="6E032FC6"/>
    <w:rsid w:val="6E083615"/>
    <w:rsid w:val="6E0D26B4"/>
    <w:rsid w:val="6E360FB8"/>
    <w:rsid w:val="6E44084F"/>
    <w:rsid w:val="6E4F3DA5"/>
    <w:rsid w:val="6E6F0BB4"/>
    <w:rsid w:val="6E6F1D57"/>
    <w:rsid w:val="6E7A62E4"/>
    <w:rsid w:val="6EB25B0B"/>
    <w:rsid w:val="6EB80BA0"/>
    <w:rsid w:val="6ED37D90"/>
    <w:rsid w:val="6F00046B"/>
    <w:rsid w:val="6F065AB6"/>
    <w:rsid w:val="6F3364F9"/>
    <w:rsid w:val="6F4D0F66"/>
    <w:rsid w:val="6F505503"/>
    <w:rsid w:val="6F57424B"/>
    <w:rsid w:val="6F612830"/>
    <w:rsid w:val="6F9E5543"/>
    <w:rsid w:val="6FD10B10"/>
    <w:rsid w:val="6FE61F22"/>
    <w:rsid w:val="6FFD00DA"/>
    <w:rsid w:val="70352925"/>
    <w:rsid w:val="70505871"/>
    <w:rsid w:val="7059136B"/>
    <w:rsid w:val="706B4405"/>
    <w:rsid w:val="70801B07"/>
    <w:rsid w:val="709A7A5C"/>
    <w:rsid w:val="70A1406F"/>
    <w:rsid w:val="715B3C2A"/>
    <w:rsid w:val="71803C89"/>
    <w:rsid w:val="71994E64"/>
    <w:rsid w:val="71EA7695"/>
    <w:rsid w:val="71EE7FB9"/>
    <w:rsid w:val="72536FDC"/>
    <w:rsid w:val="727D75DF"/>
    <w:rsid w:val="72D36E77"/>
    <w:rsid w:val="72FB66FD"/>
    <w:rsid w:val="732872C5"/>
    <w:rsid w:val="7360086A"/>
    <w:rsid w:val="73B920B2"/>
    <w:rsid w:val="74085669"/>
    <w:rsid w:val="74412921"/>
    <w:rsid w:val="7475710D"/>
    <w:rsid w:val="747621BD"/>
    <w:rsid w:val="75086A21"/>
    <w:rsid w:val="750B356A"/>
    <w:rsid w:val="750C4DDC"/>
    <w:rsid w:val="7510569F"/>
    <w:rsid w:val="756950CA"/>
    <w:rsid w:val="75922EAF"/>
    <w:rsid w:val="75AD28A1"/>
    <w:rsid w:val="76013E56"/>
    <w:rsid w:val="760A7D9D"/>
    <w:rsid w:val="763E51CC"/>
    <w:rsid w:val="766026E6"/>
    <w:rsid w:val="76B770A6"/>
    <w:rsid w:val="76CE7275"/>
    <w:rsid w:val="76E4362B"/>
    <w:rsid w:val="770A1659"/>
    <w:rsid w:val="7712242B"/>
    <w:rsid w:val="771F60E4"/>
    <w:rsid w:val="773A7A8E"/>
    <w:rsid w:val="782F327E"/>
    <w:rsid w:val="78A06277"/>
    <w:rsid w:val="78C64F8E"/>
    <w:rsid w:val="791A1EB8"/>
    <w:rsid w:val="798E4E1E"/>
    <w:rsid w:val="79A37A59"/>
    <w:rsid w:val="79C61A14"/>
    <w:rsid w:val="79EE5B89"/>
    <w:rsid w:val="79F05A1B"/>
    <w:rsid w:val="7A020CA3"/>
    <w:rsid w:val="7A067805"/>
    <w:rsid w:val="7AA408FA"/>
    <w:rsid w:val="7B123707"/>
    <w:rsid w:val="7B307625"/>
    <w:rsid w:val="7B347CEC"/>
    <w:rsid w:val="7B576B4E"/>
    <w:rsid w:val="7B761608"/>
    <w:rsid w:val="7C105077"/>
    <w:rsid w:val="7C416F95"/>
    <w:rsid w:val="7C4E5B9F"/>
    <w:rsid w:val="7C580760"/>
    <w:rsid w:val="7C9C47E0"/>
    <w:rsid w:val="7C9E070C"/>
    <w:rsid w:val="7CBB152F"/>
    <w:rsid w:val="7D2C343C"/>
    <w:rsid w:val="7D4C3183"/>
    <w:rsid w:val="7DBE5AB2"/>
    <w:rsid w:val="7DDB441F"/>
    <w:rsid w:val="7E4B1AB3"/>
    <w:rsid w:val="7E58216F"/>
    <w:rsid w:val="7E70415D"/>
    <w:rsid w:val="7E7F1745"/>
    <w:rsid w:val="7E886BD8"/>
    <w:rsid w:val="7E922F1E"/>
    <w:rsid w:val="7E9C1A45"/>
    <w:rsid w:val="7EEF7176"/>
    <w:rsid w:val="7F5D7752"/>
    <w:rsid w:val="7F7A668F"/>
    <w:rsid w:val="7F7C1BAA"/>
    <w:rsid w:val="7F91228D"/>
    <w:rsid w:val="7F980D98"/>
    <w:rsid w:val="7FBA4CF9"/>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widowControl w:val="0"/>
      <w:numPr>
        <w:ilvl w:val="0"/>
        <w:numId w:val="1"/>
      </w:numPr>
      <w:spacing w:before="240" w:after="60"/>
      <w:outlineLvl w:val="0"/>
    </w:pPr>
    <w:rPr>
      <w:rFonts w:ascii="Arial" w:hAnsi="Arial"/>
      <w:b/>
      <w:bCs/>
      <w:kern w:val="32"/>
      <w:sz w:val="32"/>
      <w:szCs w:val="32"/>
    </w:rPr>
  </w:style>
  <w:style w:type="paragraph" w:styleId="3">
    <w:name w:val="heading 2"/>
    <w:basedOn w:val="2"/>
    <w:next w:val="1"/>
    <w:qFormat/>
    <w:uiPriority w:val="9"/>
    <w:pPr>
      <w:numPr>
        <w:ilvl w:val="1"/>
        <w:numId w:val="2"/>
      </w:numPr>
      <w:pBdr>
        <w:top w:val="none" w:color="auto" w:sz="0" w:space="0"/>
      </w:pBdr>
      <w:spacing w:before="180"/>
      <w:outlineLvl w:val="1"/>
    </w:pPr>
    <w:rPr>
      <w:rFonts w:cs="Times New Roman"/>
      <w:sz w:val="32"/>
      <w:szCs w:val="32"/>
    </w:rPr>
  </w:style>
  <w:style w:type="paragraph" w:styleId="4">
    <w:name w:val="heading 3"/>
    <w:basedOn w:val="1"/>
    <w:next w:val="1"/>
    <w:qFormat/>
    <w:uiPriority w:val="0"/>
    <w:pPr>
      <w:keepNext/>
      <w:numPr>
        <w:ilvl w:val="2"/>
        <w:numId w:val="1"/>
      </w:numPr>
      <w:spacing w:before="240" w:after="60"/>
      <w:ind w:right="100" w:rightChars="100"/>
      <w:outlineLvl w:val="2"/>
    </w:pPr>
    <w:rPr>
      <w:rFonts w:ascii="Arial" w:hAnsi="Arial"/>
      <w:b/>
      <w:bCs/>
      <w:szCs w:val="26"/>
    </w:rPr>
  </w:style>
  <w:style w:type="paragraph" w:styleId="5">
    <w:name w:val="heading 4"/>
    <w:basedOn w:val="4"/>
    <w:next w:val="1"/>
    <w:link w:val="28"/>
    <w:qFormat/>
    <w:uiPriority w:val="9"/>
    <w:pPr>
      <w:numPr>
        <w:ilvl w:val="3"/>
      </w:numPr>
      <w:outlineLvl w:val="3"/>
    </w:pPr>
    <w:rPr>
      <w:i/>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b/>
      <w:bCs/>
    </w:rPr>
  </w:style>
  <w:style w:type="paragraph" w:styleId="7">
    <w:name w:val="annotation text"/>
    <w:basedOn w:val="1"/>
    <w:link w:val="26"/>
    <w:qFormat/>
    <w:uiPriority w:val="99"/>
    <w:pPr>
      <w:jc w:val="left"/>
    </w:pPr>
  </w:style>
  <w:style w:type="paragraph" w:styleId="8">
    <w:name w:val="Body Text"/>
    <w:basedOn w:val="1"/>
    <w:qFormat/>
    <w:uiPriority w:val="0"/>
    <w:pPr>
      <w:spacing w:after="120"/>
      <w:jc w:val="both"/>
    </w:pPr>
  </w:style>
  <w:style w:type="paragraph" w:styleId="9">
    <w:name w:val="footer"/>
    <w:basedOn w:val="1"/>
    <w:link w:val="19"/>
    <w:unhideWhenUsed/>
    <w:qFormat/>
    <w:uiPriority w:val="99"/>
    <w:pPr>
      <w:tabs>
        <w:tab w:val="center" w:pos="4153"/>
        <w:tab w:val="right" w:pos="8306"/>
      </w:tabs>
      <w:snapToGrid w:val="0"/>
      <w:jc w:val="left"/>
    </w:pPr>
    <w:rPr>
      <w:sz w:val="18"/>
      <w:szCs w:val="18"/>
    </w:rPr>
  </w:style>
  <w:style w:type="paragraph" w:styleId="10">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List"/>
    <w:basedOn w:val="1"/>
    <w:qFormat/>
    <w:uiPriority w:val="0"/>
    <w:pPr>
      <w:ind w:left="568" w:hanging="284"/>
    </w:pPr>
  </w:style>
  <w:style w:type="paragraph" w:styleId="12">
    <w:name w:val="annotation subject"/>
    <w:basedOn w:val="7"/>
    <w:next w:val="7"/>
    <w:link w:val="27"/>
    <w:semiHidden/>
    <w:unhideWhenUsed/>
    <w:qFormat/>
    <w:uiPriority w:val="99"/>
    <w:rPr>
      <w:b/>
      <w:bCs/>
    </w:rPr>
  </w:style>
  <w:style w:type="table" w:styleId="14">
    <w:name w:val="Table Grid"/>
    <w:basedOn w:val="13"/>
    <w:qFormat/>
    <w:uiPriority w:val="0"/>
    <w:rPr>
      <w:rFonts w:ascii="Times New Roman" w:hAnsi="Times New Roman"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qFormat/>
    <w:uiPriority w:val="99"/>
    <w:rPr>
      <w:color w:val="0000FF"/>
      <w:u w:val="single"/>
    </w:rPr>
  </w:style>
  <w:style w:type="character" w:styleId="17">
    <w:name w:val="annotation reference"/>
    <w:basedOn w:val="15"/>
    <w:qFormat/>
    <w:uiPriority w:val="0"/>
    <w:rPr>
      <w:sz w:val="21"/>
      <w:szCs w:val="21"/>
    </w:rPr>
  </w:style>
  <w:style w:type="character" w:customStyle="1" w:styleId="18">
    <w:name w:val="页眉 字符"/>
    <w:basedOn w:val="15"/>
    <w:link w:val="10"/>
    <w:qFormat/>
    <w:uiPriority w:val="99"/>
    <w:rPr>
      <w:sz w:val="18"/>
      <w:szCs w:val="18"/>
    </w:rPr>
  </w:style>
  <w:style w:type="character" w:customStyle="1" w:styleId="19">
    <w:name w:val="页脚 字符"/>
    <w:basedOn w:val="15"/>
    <w:link w:val="9"/>
    <w:qFormat/>
    <w:uiPriority w:val="99"/>
    <w:rPr>
      <w:sz w:val="18"/>
      <w:szCs w:val="18"/>
    </w:rPr>
  </w:style>
  <w:style w:type="paragraph" w:customStyle="1" w:styleId="20">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1">
    <w:name w:val="TF"/>
    <w:basedOn w:val="20"/>
    <w:qFormat/>
    <w:uiPriority w:val="0"/>
    <w:pPr>
      <w:keepNext w:val="0"/>
      <w:spacing w:before="0" w:after="240"/>
    </w:pPr>
  </w:style>
  <w:style w:type="paragraph" w:styleId="22">
    <w:name w:val="List Paragraph"/>
    <w:basedOn w:val="1"/>
    <w:qFormat/>
    <w:uiPriority w:val="34"/>
    <w:pPr>
      <w:ind w:firstLine="420" w:firstLineChars="200"/>
    </w:pPr>
  </w:style>
  <w:style w:type="paragraph" w:customStyle="1" w:styleId="23">
    <w:name w:val="B1"/>
    <w:basedOn w:val="11"/>
    <w:qFormat/>
    <w:uiPriority w:val="0"/>
  </w:style>
  <w:style w:type="paragraph" w:customStyle="1" w:styleId="24">
    <w:name w:val="Doc-text2"/>
    <w:basedOn w:val="1"/>
    <w:qFormat/>
    <w:uiPriority w:val="0"/>
    <w:pPr>
      <w:tabs>
        <w:tab w:val="left" w:pos="1622"/>
      </w:tabs>
      <w:ind w:left="1622" w:hanging="363"/>
      <w:jc w:val="left"/>
    </w:pPr>
    <w:rPr>
      <w:rFonts w:eastAsia="MS Mincho"/>
      <w:szCs w:val="24"/>
    </w:rPr>
  </w:style>
  <w:style w:type="paragraph" w:customStyle="1" w:styleId="25">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6">
    <w:name w:val="批注文字 字符"/>
    <w:basedOn w:val="15"/>
    <w:link w:val="7"/>
    <w:qFormat/>
    <w:uiPriority w:val="99"/>
    <w:rPr>
      <w:kern w:val="2"/>
      <w:sz w:val="21"/>
      <w:szCs w:val="22"/>
    </w:rPr>
  </w:style>
  <w:style w:type="character" w:customStyle="1" w:styleId="27">
    <w:name w:val="批注主题 字符"/>
    <w:basedOn w:val="26"/>
    <w:link w:val="12"/>
    <w:semiHidden/>
    <w:qFormat/>
    <w:uiPriority w:val="99"/>
    <w:rPr>
      <w:b/>
      <w:bCs/>
      <w:kern w:val="2"/>
      <w:sz w:val="21"/>
      <w:szCs w:val="22"/>
    </w:rPr>
  </w:style>
  <w:style w:type="character" w:customStyle="1" w:styleId="28">
    <w:name w:val="标题 4 字符2"/>
    <w:link w:val="5"/>
    <w:qFormat/>
    <w:uiPriority w:val="9"/>
    <w:rPr>
      <w:i/>
    </w:rPr>
  </w:style>
  <w:style w:type="paragraph" w:customStyle="1" w:styleId="29">
    <w:name w:val="Style Heading 1H1h1app heading 1l1Memo Heading 1h11h12h13h..."/>
    <w:basedOn w:val="2"/>
    <w:qFormat/>
    <w:uiPriority w:val="99"/>
    <w:pPr>
      <w:numPr>
        <w:numId w:val="3"/>
      </w:numPr>
    </w:pPr>
    <w:rPr>
      <w:rFonts w:ascii="Helvetica" w:hAnsi="Helvetica" w:eastAsia="Times New Roman"/>
      <w:sz w:val="28"/>
      <w:szCs w:val="20"/>
      <w:lang w:val="en-US"/>
    </w:rPr>
  </w:style>
  <w:style w:type="paragraph" w:customStyle="1" w:styleId="30">
    <w:name w:val="Comments"/>
    <w:basedOn w:val="1"/>
    <w:qFormat/>
    <w:uiPriority w:val="0"/>
    <w:rPr>
      <w:i/>
      <w:sz w:val="18"/>
    </w:rPr>
  </w:style>
  <w:style w:type="paragraph" w:customStyle="1" w:styleId="31">
    <w:name w:val="Agreement"/>
    <w:basedOn w:val="1"/>
    <w:next w:val="24"/>
    <w:qFormat/>
    <w:uiPriority w:val="0"/>
    <w:pPr>
      <w:numPr>
        <w:ilvl w:val="0"/>
        <w:numId w:val="4"/>
      </w:numPr>
      <w:tabs>
        <w:tab w:val="left" w:pos="1619"/>
        <w:tab w:val="clear" w:pos="1352"/>
      </w:tabs>
      <w:spacing w:before="60"/>
      <w:ind w:left="1619"/>
    </w:pPr>
    <w:rPr>
      <w:b/>
    </w:rPr>
  </w:style>
  <w:style w:type="character" w:customStyle="1" w:styleId="32">
    <w:name w:val="ui-provider"/>
    <w:basedOn w:val="15"/>
    <w:qFormat/>
    <w:uiPriority w:val="0"/>
  </w:style>
  <w:style w:type="paragraph" w:customStyle="1" w:styleId="33">
    <w:name w:val="pf0"/>
    <w:basedOn w:val="1"/>
    <w:qFormat/>
    <w:uiPriority w:val="0"/>
    <w:pPr>
      <w:overflowPunct/>
      <w:autoSpaceDE/>
      <w:autoSpaceDN/>
      <w:adjustRightInd/>
      <w:spacing w:before="100" w:beforeAutospacing="1" w:after="100" w:afterAutospacing="1"/>
      <w:textAlignment w:val="auto"/>
    </w:pPr>
    <w:rPr>
      <w:kern w:val="2"/>
      <w:sz w:val="24"/>
      <w:szCs w:val="24"/>
      <w:lang w:val="en-US" w:eastAsia="ko-K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2327</Words>
  <Characters>13269</Characters>
  <Lines>110</Lines>
  <Paragraphs>31</Paragraphs>
  <TotalTime>1</TotalTime>
  <ScaleCrop>false</ScaleCrop>
  <LinksUpToDate>false</LinksUpToDate>
  <CharactersWithSpaces>15565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2023-11-03T08:34:10Z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A85B67CF57984E62AF3537D791059160</vt:lpwstr>
  </property>
</Properties>
</file>